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36D9" w:rsidRPr="00D936D9" w:rsidRDefault="00D936D9" w:rsidP="00D936D9">
      <w:pPr>
        <w:spacing w:after="0" w:line="240" w:lineRule="auto"/>
        <w:jc w:val="center"/>
        <w:rPr>
          <w:rFonts w:ascii="Verdana" w:eastAsia="Times New Roman" w:hAnsi="Verdana" w:cs="Times New Roman"/>
          <w:b/>
          <w:bCs/>
          <w:color w:val="666666"/>
          <w:sz w:val="15"/>
          <w:szCs w:val="15"/>
          <w:lang w:eastAsia="pt-BR"/>
        </w:rPr>
      </w:pPr>
      <w:r w:rsidRPr="00D936D9">
        <w:rPr>
          <w:rFonts w:ascii="Verdana" w:eastAsia="Times New Roman" w:hAnsi="Verdana" w:cs="Times New Roman"/>
          <w:b/>
          <w:bCs/>
          <w:color w:val="666666"/>
          <w:sz w:val="15"/>
          <w:szCs w:val="15"/>
          <w:lang w:eastAsia="pt-BR"/>
        </w:rPr>
        <w:t>ADVERTÊNCIA</w:t>
      </w:r>
    </w:p>
    <w:p w:rsidR="00D936D9" w:rsidRPr="00D936D9" w:rsidRDefault="00D936D9" w:rsidP="00D936D9">
      <w:pPr>
        <w:spacing w:before="75" w:after="75" w:line="240" w:lineRule="auto"/>
        <w:jc w:val="center"/>
        <w:rPr>
          <w:rFonts w:ascii="Verdana" w:eastAsia="Times New Roman" w:hAnsi="Verdana" w:cs="Times New Roman"/>
          <w:color w:val="990000"/>
          <w:sz w:val="15"/>
          <w:szCs w:val="15"/>
          <w:lang w:eastAsia="pt-BR"/>
        </w:rPr>
      </w:pPr>
      <w:r w:rsidRPr="00D936D9">
        <w:rPr>
          <w:rFonts w:ascii="Verdana" w:eastAsia="Times New Roman" w:hAnsi="Verdana" w:cs="Times New Roman"/>
          <w:color w:val="990000"/>
          <w:sz w:val="15"/>
          <w:szCs w:val="15"/>
          <w:lang w:eastAsia="pt-BR"/>
        </w:rPr>
        <w:t>Este texto não substitui o publicado no Diário Oficial da União</w:t>
      </w:r>
    </w:p>
    <w:p w:rsidR="00D936D9" w:rsidRPr="00D936D9" w:rsidRDefault="00D936D9" w:rsidP="00D936D9">
      <w:pPr>
        <w:spacing w:after="150" w:line="240" w:lineRule="auto"/>
        <w:jc w:val="center"/>
        <w:rPr>
          <w:rFonts w:ascii="Times New Roman" w:eastAsia="Times New Roman" w:hAnsi="Times New Roman" w:cs="Times New Roman"/>
          <w:color w:val="000000"/>
          <w:sz w:val="27"/>
          <w:szCs w:val="27"/>
          <w:lang w:eastAsia="pt-BR"/>
        </w:rPr>
      </w:pPr>
      <w:r>
        <w:rPr>
          <w:rFonts w:ascii="Times New Roman" w:eastAsia="Times New Roman" w:hAnsi="Times New Roman" w:cs="Times New Roman"/>
          <w:noProof/>
          <w:color w:val="000000"/>
          <w:sz w:val="27"/>
          <w:szCs w:val="27"/>
          <w:lang w:eastAsia="pt-BR"/>
        </w:rPr>
        <w:drawing>
          <wp:inline distT="0" distB="0" distL="0" distR="0">
            <wp:extent cx="552450" cy="581025"/>
            <wp:effectExtent l="19050" t="0" r="0" b="0"/>
            <wp:docPr id="1" name="Imagem 1" descr="http://bvsms.saude.gov.br/bvs/saudelegis/imagens/bras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sms.saude.gov.br/bvs/saudelegis/imagens/brasao.gif"/>
                    <pic:cNvPicPr>
                      <a:picLocks noChangeAspect="1" noChangeArrowheads="1"/>
                    </pic:cNvPicPr>
                  </pic:nvPicPr>
                  <pic:blipFill>
                    <a:blip r:embed="rId4"/>
                    <a:srcRect/>
                    <a:stretch>
                      <a:fillRect/>
                    </a:stretch>
                  </pic:blipFill>
                  <pic:spPr bwMode="auto">
                    <a:xfrm>
                      <a:off x="0" y="0"/>
                      <a:ext cx="552450" cy="581025"/>
                    </a:xfrm>
                    <a:prstGeom prst="rect">
                      <a:avLst/>
                    </a:prstGeom>
                    <a:noFill/>
                    <a:ln w="9525">
                      <a:noFill/>
                      <a:miter lim="800000"/>
                      <a:headEnd/>
                      <a:tailEnd/>
                    </a:ln>
                  </pic:spPr>
                </pic:pic>
              </a:graphicData>
            </a:graphic>
          </wp:inline>
        </w:drawing>
      </w:r>
    </w:p>
    <w:p w:rsidR="00D936D9" w:rsidRPr="00D936D9" w:rsidRDefault="00D936D9" w:rsidP="00D936D9">
      <w:pPr>
        <w:spacing w:line="240" w:lineRule="auto"/>
        <w:jc w:val="center"/>
        <w:rPr>
          <w:rFonts w:ascii="Verdana" w:eastAsia="Times New Roman" w:hAnsi="Verdana" w:cs="Times New Roman"/>
          <w:b/>
          <w:bCs/>
          <w:color w:val="003366"/>
          <w:sz w:val="23"/>
          <w:szCs w:val="23"/>
          <w:lang w:eastAsia="pt-BR"/>
        </w:rPr>
      </w:pPr>
      <w:r w:rsidRPr="00D936D9">
        <w:rPr>
          <w:rFonts w:ascii="Verdana" w:eastAsia="Times New Roman" w:hAnsi="Verdana" w:cs="Times New Roman"/>
          <w:b/>
          <w:bCs/>
          <w:color w:val="003366"/>
          <w:sz w:val="23"/>
          <w:szCs w:val="23"/>
          <w:lang w:eastAsia="pt-BR"/>
        </w:rPr>
        <w:t>Ministério da Saúde</w:t>
      </w:r>
      <w:r w:rsidRPr="00D936D9">
        <w:rPr>
          <w:rFonts w:ascii="Verdana" w:eastAsia="Times New Roman" w:hAnsi="Verdana" w:cs="Times New Roman"/>
          <w:b/>
          <w:bCs/>
          <w:color w:val="003366"/>
          <w:sz w:val="23"/>
          <w:szCs w:val="23"/>
          <w:lang w:eastAsia="pt-BR"/>
        </w:rPr>
        <w:br/>
      </w:r>
      <w:r w:rsidRPr="00D936D9">
        <w:rPr>
          <w:rFonts w:ascii="Verdana" w:eastAsia="Times New Roman" w:hAnsi="Verdana" w:cs="Times New Roman"/>
          <w:b/>
          <w:bCs/>
          <w:color w:val="003366"/>
          <w:sz w:val="18"/>
          <w:lang w:eastAsia="pt-BR"/>
        </w:rPr>
        <w:t>Gabinete do Ministro</w:t>
      </w:r>
    </w:p>
    <w:p w:rsidR="00D936D9" w:rsidRPr="00D936D9" w:rsidRDefault="00D936D9" w:rsidP="00D936D9">
      <w:pPr>
        <w:spacing w:before="100" w:beforeAutospacing="1" w:after="100" w:afterAutospacing="1" w:line="240" w:lineRule="auto"/>
        <w:jc w:val="center"/>
        <w:outlineLvl w:val="0"/>
        <w:rPr>
          <w:rFonts w:ascii="Arial" w:eastAsia="Times New Roman" w:hAnsi="Arial" w:cs="Arial"/>
          <w:b/>
          <w:bCs/>
          <w:caps/>
          <w:color w:val="000000"/>
          <w:kern w:val="36"/>
          <w:sz w:val="23"/>
          <w:szCs w:val="23"/>
          <w:lang w:eastAsia="pt-BR"/>
        </w:rPr>
      </w:pPr>
      <w:r w:rsidRPr="00D936D9">
        <w:rPr>
          <w:rFonts w:ascii="Arial" w:eastAsia="Times New Roman" w:hAnsi="Arial" w:cs="Arial"/>
          <w:b/>
          <w:bCs/>
          <w:caps/>
          <w:color w:val="000000"/>
          <w:kern w:val="36"/>
          <w:sz w:val="23"/>
          <w:szCs w:val="23"/>
          <w:lang w:eastAsia="pt-BR"/>
        </w:rPr>
        <w:t>PORTARIA Nº 131, DE 26 DE JANEIRO DE 2012</w:t>
      </w:r>
    </w:p>
    <w:p w:rsidR="00D936D9" w:rsidRPr="00D936D9" w:rsidRDefault="00D936D9" w:rsidP="00D936D9">
      <w:pPr>
        <w:spacing w:before="100" w:beforeAutospacing="1" w:after="450" w:line="240" w:lineRule="auto"/>
        <w:ind w:left="5850"/>
        <w:jc w:val="both"/>
        <w:rPr>
          <w:rFonts w:ascii="Arial" w:eastAsia="Times New Roman" w:hAnsi="Arial" w:cs="Arial"/>
          <w:b/>
          <w:bCs/>
          <w:i/>
          <w:iCs/>
          <w:color w:val="000000"/>
          <w:sz w:val="20"/>
          <w:szCs w:val="20"/>
          <w:lang w:eastAsia="pt-BR"/>
        </w:rPr>
      </w:pPr>
      <w:r w:rsidRPr="00D936D9">
        <w:rPr>
          <w:rFonts w:ascii="Arial" w:eastAsia="Times New Roman" w:hAnsi="Arial" w:cs="Arial"/>
          <w:b/>
          <w:bCs/>
          <w:i/>
          <w:iCs/>
          <w:color w:val="000000"/>
          <w:sz w:val="20"/>
          <w:szCs w:val="20"/>
          <w:lang w:eastAsia="pt-BR"/>
        </w:rPr>
        <w:t xml:space="preserve">Institui incentivo financeiro de custeio destinado aos Estados, Municípios e ao Distrito Federal para apoio ao custeio de Serviços de Atenção em Regime Residencial, incluídas as Comunidades Terapêuticas, voltados para pessoas com necessidades decorrentes do uso de álcool, </w:t>
      </w:r>
      <w:proofErr w:type="spellStart"/>
      <w:r w:rsidRPr="00D936D9">
        <w:rPr>
          <w:rFonts w:ascii="Arial" w:eastAsia="Times New Roman" w:hAnsi="Arial" w:cs="Arial"/>
          <w:b/>
          <w:bCs/>
          <w:i/>
          <w:iCs/>
          <w:color w:val="000000"/>
          <w:sz w:val="20"/>
          <w:szCs w:val="20"/>
          <w:lang w:eastAsia="pt-BR"/>
        </w:rPr>
        <w:t>crack</w:t>
      </w:r>
      <w:proofErr w:type="spellEnd"/>
      <w:r w:rsidRPr="00D936D9">
        <w:rPr>
          <w:rFonts w:ascii="Arial" w:eastAsia="Times New Roman" w:hAnsi="Arial" w:cs="Arial"/>
          <w:b/>
          <w:bCs/>
          <w:i/>
          <w:iCs/>
          <w:color w:val="000000"/>
          <w:sz w:val="20"/>
          <w:szCs w:val="20"/>
          <w:lang w:eastAsia="pt-BR"/>
        </w:rPr>
        <w:t xml:space="preserve"> e outras drogas, no âmbito da Rede de Atenção Psicossocial.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O MINISTRO DE ESTADO DA SAÚDE, no uso das atribuições que lhe conferem </w:t>
      </w:r>
      <w:proofErr w:type="gramStart"/>
      <w:r w:rsidRPr="00D936D9">
        <w:rPr>
          <w:rFonts w:ascii="Arial" w:eastAsia="Times New Roman" w:hAnsi="Arial" w:cs="Arial"/>
          <w:color w:val="000000"/>
          <w:sz w:val="20"/>
          <w:szCs w:val="20"/>
          <w:lang w:eastAsia="pt-BR"/>
        </w:rPr>
        <w:t>os incisos I e II do parágrafo único do art.</w:t>
      </w:r>
      <w:proofErr w:type="gramEnd"/>
      <w:r w:rsidRPr="00D936D9">
        <w:rPr>
          <w:rFonts w:ascii="Arial" w:eastAsia="Times New Roman" w:hAnsi="Arial" w:cs="Arial"/>
          <w:color w:val="000000"/>
          <w:sz w:val="20"/>
          <w:szCs w:val="20"/>
          <w:lang w:eastAsia="pt-BR"/>
        </w:rPr>
        <w:t xml:space="preserve"> 87 da Constituição, 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Considerando a Lei nº 10.216, de </w:t>
      </w:r>
      <w:proofErr w:type="gramStart"/>
      <w:r w:rsidRPr="00D936D9">
        <w:rPr>
          <w:rFonts w:ascii="Arial" w:eastAsia="Times New Roman" w:hAnsi="Arial" w:cs="Arial"/>
          <w:color w:val="000000"/>
          <w:sz w:val="20"/>
          <w:szCs w:val="20"/>
          <w:lang w:eastAsia="pt-BR"/>
        </w:rPr>
        <w:t>6</w:t>
      </w:r>
      <w:proofErr w:type="gramEnd"/>
      <w:r w:rsidRPr="00D936D9">
        <w:rPr>
          <w:rFonts w:ascii="Arial" w:eastAsia="Times New Roman" w:hAnsi="Arial" w:cs="Arial"/>
          <w:color w:val="000000"/>
          <w:sz w:val="20"/>
          <w:szCs w:val="20"/>
          <w:lang w:eastAsia="pt-BR"/>
        </w:rPr>
        <w:t xml:space="preserve"> de abril de 2001, que dispõe sobre a proteção e os direitos das pessoas portadoras de transtornos mentais e redireciona o modelo assistencial em saúde mental;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Considerando o Decreto nº 7.508, de 28 de junho de 2011, que regulamenta a Lei nº 8.080, de 19 de setembro de 1990, e dispõe que as Regiões de Saúde devem conter entre suas ações e serviços mínimos com a atenção psicossocial;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Considerando a Portaria nº 3.088, de 26 de dezembro de 2011, que institui a Rede de Atenção Psicossocial para pessoas com sofrimento ou transtorno mental e com necessidades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no âmbito do Sistema Único de Saúde;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Considerando a Resolução nº 29, de 30 de junho de 2011, da Agência Nacional de Vigilância Sanitária, que dispõe sobre os requisitos de segurança para o funcionamento das instituições que prestam serviços de atenção a pessoas com transtornos decorrentes do uso, abuso ou dependência de substâncias psicoativas.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Considerando a Resolução nº 63, de 25 de novembro de 2011, da Agência Nacional de Vigilância Sanitária, que dispõe sobre os Requisitos de Boas Práticas de Funcionamento para os Serviços de Saúde;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Considerando a Resolução do Conselho Nacional de Saúde nº 448, de </w:t>
      </w:r>
      <w:proofErr w:type="gramStart"/>
      <w:r w:rsidRPr="00D936D9">
        <w:rPr>
          <w:rFonts w:ascii="Arial" w:eastAsia="Times New Roman" w:hAnsi="Arial" w:cs="Arial"/>
          <w:color w:val="000000"/>
          <w:sz w:val="20"/>
          <w:szCs w:val="20"/>
          <w:lang w:eastAsia="pt-BR"/>
        </w:rPr>
        <w:t>6</w:t>
      </w:r>
      <w:proofErr w:type="gramEnd"/>
      <w:r w:rsidRPr="00D936D9">
        <w:rPr>
          <w:rFonts w:ascii="Arial" w:eastAsia="Times New Roman" w:hAnsi="Arial" w:cs="Arial"/>
          <w:color w:val="000000"/>
          <w:sz w:val="20"/>
          <w:szCs w:val="20"/>
          <w:lang w:eastAsia="pt-BR"/>
        </w:rPr>
        <w:t xml:space="preserve"> de outubro de 2011, que resolve que a inserção de toda</w:t>
      </w:r>
      <w:r w:rsidRPr="00D936D9">
        <w:rPr>
          <w:rFonts w:ascii="Arial" w:eastAsia="Times New Roman" w:hAnsi="Arial" w:cs="Arial"/>
          <w:color w:val="000000"/>
          <w:sz w:val="20"/>
          <w:szCs w:val="20"/>
          <w:lang w:eastAsia="pt-BR"/>
        </w:rPr>
        <w:br/>
        <w:t xml:space="preserve">e qualquer entidade ou instituição na Rede de Atenção Psicossocial do SUS seja orientada pela adesão aos princípios da reforma </w:t>
      </w:r>
      <w:proofErr w:type="spellStart"/>
      <w:r w:rsidRPr="00D936D9">
        <w:rPr>
          <w:rFonts w:ascii="Arial" w:eastAsia="Times New Roman" w:hAnsi="Arial" w:cs="Arial"/>
          <w:color w:val="000000"/>
          <w:sz w:val="20"/>
          <w:szCs w:val="20"/>
          <w:lang w:eastAsia="pt-BR"/>
        </w:rPr>
        <w:t>antimanicomial</w:t>
      </w:r>
      <w:proofErr w:type="spellEnd"/>
      <w:r w:rsidRPr="00D936D9">
        <w:rPr>
          <w:rFonts w:ascii="Arial" w:eastAsia="Times New Roman" w:hAnsi="Arial" w:cs="Arial"/>
          <w:color w:val="000000"/>
          <w:sz w:val="20"/>
          <w:szCs w:val="20"/>
          <w:lang w:eastAsia="pt-BR"/>
        </w:rPr>
        <w:t>, em especial no que se refere ao não-isolamento de indivíduos e grupos populacionais; 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 xml:space="preserve">Considerando a gravidade epidemiológica e social dos agravos à saúde relacionados ao uso do álcool, </w:t>
      </w:r>
      <w:proofErr w:type="spellStart"/>
      <w:proofErr w:type="gram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resolve</w:t>
      </w:r>
      <w:proofErr w:type="gramEnd"/>
      <w:r w:rsidRPr="00D936D9">
        <w:rPr>
          <w:rFonts w:ascii="Arial" w:eastAsia="Times New Roman" w:hAnsi="Arial" w:cs="Arial"/>
          <w:color w:val="000000"/>
          <w:sz w:val="20"/>
          <w:szCs w:val="20"/>
          <w:lang w:eastAsia="pt-BR"/>
        </w:rPr>
        <w:t>:</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CAPÍTULO I</w:t>
      </w:r>
      <w:r w:rsidRPr="00D936D9">
        <w:rPr>
          <w:rFonts w:ascii="Arial" w:eastAsia="Times New Roman" w:hAnsi="Arial" w:cs="Arial"/>
          <w:color w:val="000000"/>
          <w:sz w:val="20"/>
          <w:szCs w:val="20"/>
          <w:lang w:eastAsia="pt-BR"/>
        </w:rPr>
        <w:br/>
        <w:t>DISPOSIÇÕES GERAIS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Art. 1º Fica instituído incentivo financeiro de custeio destinado aos Estados, Municípios e ao Distrito Federal para apoio ao custeio de Serviços de Atenção em Regime Residencial, incluídas as Comunidades Terapêuticas, voltados para pessoas com necessidades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no âmbito da Rede de Atenção Psicossocial.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 1º Os Serviços de Atenção em Regime Residencial são os serviços de saúde de atenção residencial transitória que oferecem cuidados para adultos com necessidades clínicas estáveis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2º As Comunidades Terapêuticas são entendidas como espécie do gênero Serviços de Atenção em Regime Residencial, aplicando-se a elas todas as disposições e todos os efeitos desta Portaria.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Art. 2º O incentivo financeiro de custeio instituído no art. 1º será da ordem de R$ 15.000,00 (quinze mil reais) mensais para cada módulo de 15 (quinze) vagas de atenção em regime de residência, até um limite de financiamento de </w:t>
      </w:r>
      <w:proofErr w:type="gramStart"/>
      <w:r w:rsidRPr="00D936D9">
        <w:rPr>
          <w:rFonts w:ascii="Arial" w:eastAsia="Times New Roman" w:hAnsi="Arial" w:cs="Arial"/>
          <w:color w:val="000000"/>
          <w:sz w:val="20"/>
          <w:szCs w:val="20"/>
          <w:lang w:eastAsia="pt-BR"/>
        </w:rPr>
        <w:t>2</w:t>
      </w:r>
      <w:proofErr w:type="gramEnd"/>
      <w:r w:rsidRPr="00D936D9">
        <w:rPr>
          <w:rFonts w:ascii="Arial" w:eastAsia="Times New Roman" w:hAnsi="Arial" w:cs="Arial"/>
          <w:color w:val="000000"/>
          <w:sz w:val="20"/>
          <w:szCs w:val="20"/>
          <w:lang w:eastAsia="pt-BR"/>
        </w:rPr>
        <w:t xml:space="preserve"> (dois) módulos por entidade beneficiária.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1º O número total de residentes na entidade beneficiária não pode ultrapassar 30 (trinta);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 2º O valor do recurso financeiro de que trata o caput desse artigo </w:t>
      </w:r>
      <w:proofErr w:type="gramStart"/>
      <w:r w:rsidRPr="00D936D9">
        <w:rPr>
          <w:rFonts w:ascii="Arial" w:eastAsia="Times New Roman" w:hAnsi="Arial" w:cs="Arial"/>
          <w:color w:val="000000"/>
          <w:sz w:val="20"/>
          <w:szCs w:val="20"/>
          <w:lang w:eastAsia="pt-BR"/>
        </w:rPr>
        <w:t>será</w:t>
      </w:r>
      <w:proofErr w:type="gramEnd"/>
      <w:r w:rsidRPr="00D936D9">
        <w:rPr>
          <w:rFonts w:ascii="Arial" w:eastAsia="Times New Roman" w:hAnsi="Arial" w:cs="Arial"/>
          <w:color w:val="000000"/>
          <w:sz w:val="20"/>
          <w:szCs w:val="20"/>
          <w:lang w:eastAsia="pt-BR"/>
        </w:rPr>
        <w:t xml:space="preserve"> incorporado ao Limite Financeiro de Média e Alta Complexidade Ambulatorial e Hospitalar dos respectivos Estados, Municípios e do Distrito Federal, e destina-se a apoiar o custeio de entidade pública ou parceria com entidade sem fins lucrativos.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3º O recurso financeiro de que trata este artigo deverá ser utilizado exclusivamente para atividades que visem o cuidado em saúde para os usuários das entidades.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3º O deferimento do incentivo financeiro de que trata esta Portaria ocorrerá na seguinte proporção: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 - ente federado que possua CAPS AD III poderá solicitar incentivo financeiro para apoio a um Serviço de Atenção em Regime Residencial, com até </w:t>
      </w:r>
      <w:proofErr w:type="gramStart"/>
      <w:r w:rsidRPr="00D936D9">
        <w:rPr>
          <w:rFonts w:ascii="Arial" w:eastAsia="Times New Roman" w:hAnsi="Arial" w:cs="Arial"/>
          <w:color w:val="000000"/>
          <w:sz w:val="20"/>
          <w:szCs w:val="20"/>
          <w:lang w:eastAsia="pt-BR"/>
        </w:rPr>
        <w:t>2</w:t>
      </w:r>
      <w:proofErr w:type="gramEnd"/>
      <w:r w:rsidRPr="00D936D9">
        <w:rPr>
          <w:rFonts w:ascii="Arial" w:eastAsia="Times New Roman" w:hAnsi="Arial" w:cs="Arial"/>
          <w:color w:val="000000"/>
          <w:sz w:val="20"/>
          <w:szCs w:val="20"/>
          <w:lang w:eastAsia="pt-BR"/>
        </w:rPr>
        <w:t xml:space="preserve"> (dois) módulos de 15 (quinze) vagas, para cada CAPS AD existente;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ente federado que possua apenas CAPS do tipo I ou II, que acompanhe de forma sistemática pessoas com necessidades de</w:t>
      </w:r>
      <w:r w:rsidRPr="00D936D9">
        <w:rPr>
          <w:rFonts w:ascii="Arial" w:eastAsia="Times New Roman" w:hAnsi="Arial" w:cs="Arial"/>
          <w:color w:val="000000"/>
          <w:sz w:val="20"/>
          <w:szCs w:val="20"/>
          <w:lang w:eastAsia="pt-BR"/>
        </w:rPr>
        <w:br/>
        <w:t xml:space="preserve">saúde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poderá solicitar incentivo financeiro para apoio a um Serviço de Atenção em Regime Residencial, com </w:t>
      </w:r>
      <w:proofErr w:type="gramStart"/>
      <w:r w:rsidRPr="00D936D9">
        <w:rPr>
          <w:rFonts w:ascii="Arial" w:eastAsia="Times New Roman" w:hAnsi="Arial" w:cs="Arial"/>
          <w:color w:val="000000"/>
          <w:sz w:val="20"/>
          <w:szCs w:val="20"/>
          <w:lang w:eastAsia="pt-BR"/>
        </w:rPr>
        <w:t>1</w:t>
      </w:r>
      <w:proofErr w:type="gramEnd"/>
      <w:r w:rsidRPr="00D936D9">
        <w:rPr>
          <w:rFonts w:ascii="Arial" w:eastAsia="Times New Roman" w:hAnsi="Arial" w:cs="Arial"/>
          <w:color w:val="000000"/>
          <w:sz w:val="20"/>
          <w:szCs w:val="20"/>
          <w:lang w:eastAsia="pt-BR"/>
        </w:rPr>
        <w:t xml:space="preserve"> (um) módulo de 15 (quinze) vagas, para cada CAPS I ou II existente.</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CAPÍTULO II</w:t>
      </w:r>
      <w:r w:rsidRPr="00D936D9">
        <w:rPr>
          <w:rFonts w:ascii="Arial" w:eastAsia="Times New Roman" w:hAnsi="Arial" w:cs="Arial"/>
          <w:color w:val="000000"/>
          <w:sz w:val="20"/>
          <w:szCs w:val="20"/>
          <w:lang w:eastAsia="pt-BR"/>
        </w:rPr>
        <w:br/>
        <w:t>DOS REQUISITOS PARA O FINANCIAMENTO</w:t>
      </w:r>
      <w:r w:rsidRPr="00D936D9">
        <w:rPr>
          <w:rFonts w:ascii="Arial" w:eastAsia="Times New Roman" w:hAnsi="Arial" w:cs="Arial"/>
          <w:color w:val="000000"/>
          <w:sz w:val="20"/>
          <w:szCs w:val="20"/>
          <w:lang w:eastAsia="pt-BR"/>
        </w:rPr>
        <w:br/>
        <w:t>Seção I</w:t>
      </w:r>
      <w:r w:rsidRPr="00D936D9">
        <w:rPr>
          <w:rFonts w:ascii="Arial" w:eastAsia="Times New Roman" w:hAnsi="Arial" w:cs="Arial"/>
          <w:color w:val="000000"/>
          <w:sz w:val="20"/>
          <w:szCs w:val="20"/>
          <w:lang w:eastAsia="pt-BR"/>
        </w:rPr>
        <w:br/>
        <w:t>Do Pedido de Financiamento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4º Os entes interessados no recebimento do incentivo instituído no art. 1º deverão integrar Região de Saúde que conte com os seguintes componentes em sua Rede de Atenção Psicossocial:</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 xml:space="preserve">I - pelo menos </w:t>
      </w:r>
      <w:proofErr w:type="gramStart"/>
      <w:r w:rsidRPr="00D936D9">
        <w:rPr>
          <w:rFonts w:ascii="Arial" w:eastAsia="Times New Roman" w:hAnsi="Arial" w:cs="Arial"/>
          <w:color w:val="000000"/>
          <w:sz w:val="20"/>
          <w:szCs w:val="20"/>
          <w:lang w:eastAsia="pt-BR"/>
        </w:rPr>
        <w:t>1</w:t>
      </w:r>
      <w:proofErr w:type="gramEnd"/>
      <w:r w:rsidRPr="00D936D9">
        <w:rPr>
          <w:rFonts w:ascii="Arial" w:eastAsia="Times New Roman" w:hAnsi="Arial" w:cs="Arial"/>
          <w:color w:val="000000"/>
          <w:sz w:val="20"/>
          <w:szCs w:val="20"/>
          <w:lang w:eastAsia="pt-BR"/>
        </w:rPr>
        <w:t xml:space="preserve"> (um) Centro de Atenção Psicossocial (CAPS), preferencialmente Centro de Atenção Psicossocial de Álcool e Outras Drogas III (CAPS AD III);</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II - pelo menos </w:t>
      </w:r>
      <w:proofErr w:type="gramStart"/>
      <w:r w:rsidRPr="00D936D9">
        <w:rPr>
          <w:rFonts w:ascii="Arial" w:eastAsia="Times New Roman" w:hAnsi="Arial" w:cs="Arial"/>
          <w:color w:val="000000"/>
          <w:sz w:val="20"/>
          <w:szCs w:val="20"/>
          <w:lang w:eastAsia="pt-BR"/>
        </w:rPr>
        <w:t>1</w:t>
      </w:r>
      <w:proofErr w:type="gramEnd"/>
      <w:r w:rsidRPr="00D936D9">
        <w:rPr>
          <w:rFonts w:ascii="Arial" w:eastAsia="Times New Roman" w:hAnsi="Arial" w:cs="Arial"/>
          <w:color w:val="000000"/>
          <w:sz w:val="20"/>
          <w:szCs w:val="20"/>
          <w:lang w:eastAsia="pt-BR"/>
        </w:rPr>
        <w:t xml:space="preserve"> (uma) Unidade de Acolhimento Adulto;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III - serviço hospitalar de referência para pessoas com sofrimento ou transtorno mental e com necessidades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IV - retaguarda de atendimento de urgência (SAMU e Pronto- socorro ou Pronto-atendimento ou Unidade de Pronto Atendimento).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5º O pedido de financiamento deverá ser direcionado à Área Técnica de Saúde Mental do Departamento de Ações Programáticas Estratégicas da Secretaria de Atenção à Saúde do Ministério da Saúde (Área Técnica de Saúde Mental do DAPES/SAS/MS), com cópia para a respectiva Secretaria de Saúde estadual, e conterá os seguintes documentos: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 - ofício do gestor de saúde local com as seguintes informações: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a) indicação completa da entidade </w:t>
      </w:r>
      <w:proofErr w:type="spellStart"/>
      <w:r w:rsidRPr="00D936D9">
        <w:rPr>
          <w:rFonts w:ascii="Arial" w:eastAsia="Times New Roman" w:hAnsi="Arial" w:cs="Arial"/>
          <w:color w:val="000000"/>
          <w:sz w:val="20"/>
          <w:szCs w:val="20"/>
          <w:lang w:eastAsia="pt-BR"/>
        </w:rPr>
        <w:t>beneficária</w:t>
      </w:r>
      <w:proofErr w:type="spellEnd"/>
      <w:r w:rsidRPr="00D936D9">
        <w:rPr>
          <w:rFonts w:ascii="Arial" w:eastAsia="Times New Roman" w:hAnsi="Arial" w:cs="Arial"/>
          <w:color w:val="000000"/>
          <w:sz w:val="20"/>
          <w:szCs w:val="20"/>
          <w:lang w:eastAsia="pt-BR"/>
        </w:rPr>
        <w:t>;</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b) indicação do profissional responsável, na Secretaria de Saúde, pelo monitoramento da entidade beneficiária, com nome completo, cargo exercido e informações de contato;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 compromisso de conformidade do Serviço de Atenção em Regime Residencial, de acordo com os critérios estabelecidos nesta Portaria;</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licença atualizada da entidade beneficiária, de acordo com a legislação sanitária;</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III - comprovação da existência e do efetivo funcionamento da entidade beneficiária há pelo menos </w:t>
      </w:r>
      <w:proofErr w:type="gramStart"/>
      <w:r w:rsidRPr="00D936D9">
        <w:rPr>
          <w:rFonts w:ascii="Arial" w:eastAsia="Times New Roman" w:hAnsi="Arial" w:cs="Arial"/>
          <w:color w:val="000000"/>
          <w:sz w:val="20"/>
          <w:szCs w:val="20"/>
          <w:lang w:eastAsia="pt-BR"/>
        </w:rPr>
        <w:t>3</w:t>
      </w:r>
      <w:proofErr w:type="gramEnd"/>
      <w:r w:rsidRPr="00D936D9">
        <w:rPr>
          <w:rFonts w:ascii="Arial" w:eastAsia="Times New Roman" w:hAnsi="Arial" w:cs="Arial"/>
          <w:color w:val="000000"/>
          <w:sz w:val="20"/>
          <w:szCs w:val="20"/>
          <w:lang w:eastAsia="pt-BR"/>
        </w:rPr>
        <w:t xml:space="preserve"> (três) anos quando da publicação desta Portaria;</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IV - projeto técnico apresentado pela entidade beneficiária, com a observância dos requisitos estabelecidos nesta Portaria;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 - Certificação das Entidades Beneficentes de Assistência Social (CEBAS).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Parágrafo único. No caso de pedido de financiamento para entidades com residentes há mais de 30 (trinta) dias na data do pedido de financiamento, o pedido será instruído também com relatório do gestor municipal de saúde acerca da condição desses residentes, indicando- se o seguinte: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 - identificação e características dos residentes, especialmente sexo, idade, cor, escolaridade, diagnóstico, naturalidade e local</w:t>
      </w:r>
      <w:r w:rsidRPr="00D936D9">
        <w:rPr>
          <w:rFonts w:ascii="Arial" w:eastAsia="Times New Roman" w:hAnsi="Arial" w:cs="Arial"/>
          <w:color w:val="000000"/>
          <w:sz w:val="20"/>
          <w:szCs w:val="20"/>
          <w:lang w:eastAsia="pt-BR"/>
        </w:rPr>
        <w:br/>
        <w:t>de residência prévia;</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data de entrada na entidade na permanência atual;</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III - datas de entrada e de saída em permanências anteriores na mesma entidade, quando for o caso;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IV - responsável pela indicação clínica de entrada na entidade, com nome completo, categoria profissional e serviço de saúde a que esteja vinculado.</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Seção II</w:t>
      </w:r>
      <w:r w:rsidRPr="00D936D9">
        <w:rPr>
          <w:rFonts w:ascii="Arial" w:eastAsia="Times New Roman" w:hAnsi="Arial" w:cs="Arial"/>
          <w:color w:val="000000"/>
          <w:sz w:val="20"/>
          <w:szCs w:val="20"/>
          <w:lang w:eastAsia="pt-BR"/>
        </w:rPr>
        <w:br/>
        <w:t>Do Projeto Técnico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Art. 6º Os projetos técnicos elaborados pelas entidades prestadoras de serviços de atenção em regime residencial estarão embasados nas seguintes diretrizes: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 - respeitar, garantir e promover os diretos do residente como cidadão;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ser centrado nas necessidades do residente, em consonância com a construção da autonomia e a reinserção social;</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III - garantir ao residente o acesso a meios de comunicação;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IV - garantir o contato </w:t>
      </w:r>
      <w:proofErr w:type="spellStart"/>
      <w:r w:rsidRPr="00D936D9">
        <w:rPr>
          <w:rFonts w:ascii="Arial" w:eastAsia="Times New Roman" w:hAnsi="Arial" w:cs="Arial"/>
          <w:color w:val="000000"/>
          <w:sz w:val="20"/>
          <w:szCs w:val="20"/>
          <w:lang w:eastAsia="pt-BR"/>
        </w:rPr>
        <w:t>frequente</w:t>
      </w:r>
      <w:proofErr w:type="spellEnd"/>
      <w:r w:rsidRPr="00D936D9">
        <w:rPr>
          <w:rFonts w:ascii="Arial" w:eastAsia="Times New Roman" w:hAnsi="Arial" w:cs="Arial"/>
          <w:color w:val="000000"/>
          <w:sz w:val="20"/>
          <w:szCs w:val="20"/>
          <w:lang w:eastAsia="pt-BR"/>
        </w:rPr>
        <w:t xml:space="preserve"> do residente com a família desde o início da inserção na entidade;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 - respeitar a orientação religiosa do residente, sem impor e sem cercear a participação em qualquer tipo de atividade religiosa durante a permanência na entidade;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VI - garantir o sigilo das informações prestadas pelos profissionais de saúde, familiares e residentes;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VII - inserção da entidade na Rede de Atenção Psicossocial, em estreita articulação com os CAPS, a Atenção Básica e outros serviços pertinentes;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VIII - permanência do usuário residente na entidade por no máximo </w:t>
      </w:r>
      <w:proofErr w:type="gramStart"/>
      <w:r w:rsidRPr="00D936D9">
        <w:rPr>
          <w:rFonts w:ascii="Arial" w:eastAsia="Times New Roman" w:hAnsi="Arial" w:cs="Arial"/>
          <w:color w:val="000000"/>
          <w:sz w:val="20"/>
          <w:szCs w:val="20"/>
          <w:lang w:eastAsia="pt-BR"/>
        </w:rPr>
        <w:t>6</w:t>
      </w:r>
      <w:proofErr w:type="gramEnd"/>
      <w:r w:rsidRPr="00D936D9">
        <w:rPr>
          <w:rFonts w:ascii="Arial" w:eastAsia="Times New Roman" w:hAnsi="Arial" w:cs="Arial"/>
          <w:color w:val="000000"/>
          <w:sz w:val="20"/>
          <w:szCs w:val="20"/>
          <w:lang w:eastAsia="pt-BR"/>
        </w:rPr>
        <w:t xml:space="preserve"> (seis) meses, com a possibilidade de uma só prorrogação por mais 3 (três) meses, sob justificativa conjunta das equipes técnicas da entidade e do CAPS de referência, em relatório circunstanciado.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1º O período de permanência do usuário residente anterior ao recebimento do incentivo financeiro instituído no art. 2º será contado para fins de apuração do prazo máximo previsto no inciso VIII deste artigo.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 2º Em casos de permanência já superior a </w:t>
      </w:r>
      <w:proofErr w:type="gramStart"/>
      <w:r w:rsidRPr="00D936D9">
        <w:rPr>
          <w:rFonts w:ascii="Arial" w:eastAsia="Times New Roman" w:hAnsi="Arial" w:cs="Arial"/>
          <w:color w:val="000000"/>
          <w:sz w:val="20"/>
          <w:szCs w:val="20"/>
          <w:lang w:eastAsia="pt-BR"/>
        </w:rPr>
        <w:t>6</w:t>
      </w:r>
      <w:proofErr w:type="gramEnd"/>
      <w:r w:rsidRPr="00D936D9">
        <w:rPr>
          <w:rFonts w:ascii="Arial" w:eastAsia="Times New Roman" w:hAnsi="Arial" w:cs="Arial"/>
          <w:color w:val="000000"/>
          <w:sz w:val="20"/>
          <w:szCs w:val="20"/>
          <w:lang w:eastAsia="pt-BR"/>
        </w:rPr>
        <w:t xml:space="preserve"> (seis) meses quando do recebimento do incentivo financeiro instituído no art. 2º, o Projeto Terapêutico Singular conterá planejamento de saída em até 3 (três) meses após o início do repasse do incentivo financeiro.</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Seção III</w:t>
      </w:r>
      <w:r w:rsidRPr="00D936D9">
        <w:rPr>
          <w:rFonts w:ascii="Arial" w:eastAsia="Times New Roman" w:hAnsi="Arial" w:cs="Arial"/>
          <w:color w:val="000000"/>
          <w:sz w:val="20"/>
          <w:szCs w:val="20"/>
          <w:lang w:eastAsia="pt-BR"/>
        </w:rPr>
        <w:br/>
        <w:t>Do Funcionamento do Serviço de Atenção em Regime Residencial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7º O serviço de atenção em regime residencial passível de financiamento, nos termos desta Portaria, deverá observar as diretrizes de funcionamento estabelecidas nesta Seção.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8º A definição do funcionamento interno das entidades prestadoras de serviço de atenção em regime residencial será de responsabilidade do respectivo coordenador técnico, respeitados os seguintes requisitos mínimos: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 - direito do usuário residente ao contato </w:t>
      </w:r>
      <w:proofErr w:type="spellStart"/>
      <w:r w:rsidRPr="00D936D9">
        <w:rPr>
          <w:rFonts w:ascii="Arial" w:eastAsia="Times New Roman" w:hAnsi="Arial" w:cs="Arial"/>
          <w:color w:val="000000"/>
          <w:sz w:val="20"/>
          <w:szCs w:val="20"/>
          <w:lang w:eastAsia="pt-BR"/>
        </w:rPr>
        <w:t>frequente</w:t>
      </w:r>
      <w:proofErr w:type="spellEnd"/>
      <w:r w:rsidRPr="00D936D9">
        <w:rPr>
          <w:rFonts w:ascii="Arial" w:eastAsia="Times New Roman" w:hAnsi="Arial" w:cs="Arial"/>
          <w:color w:val="000000"/>
          <w:sz w:val="20"/>
          <w:szCs w:val="20"/>
          <w:lang w:eastAsia="pt-BR"/>
        </w:rPr>
        <w:t>, com visitas regulares, dos familiares desde o primeiro dia de permanência na entidade;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estímulo a situações de convívio social entre os usuários residentes em atividades terapêuticas, de lazer, cultura, esporte, alimentação e outras, dentro e fora da entidade, sempre que possível;</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III - promoção de reuniões e </w:t>
      </w:r>
      <w:proofErr w:type="spellStart"/>
      <w:r w:rsidRPr="00D936D9">
        <w:rPr>
          <w:rFonts w:ascii="Arial" w:eastAsia="Times New Roman" w:hAnsi="Arial" w:cs="Arial"/>
          <w:color w:val="000000"/>
          <w:sz w:val="20"/>
          <w:szCs w:val="20"/>
          <w:lang w:eastAsia="pt-BR"/>
        </w:rPr>
        <w:t>assembleias</w:t>
      </w:r>
      <w:proofErr w:type="spellEnd"/>
      <w:r w:rsidRPr="00D936D9">
        <w:rPr>
          <w:rFonts w:ascii="Arial" w:eastAsia="Times New Roman" w:hAnsi="Arial" w:cs="Arial"/>
          <w:color w:val="000000"/>
          <w:sz w:val="20"/>
          <w:szCs w:val="20"/>
          <w:lang w:eastAsia="pt-BR"/>
        </w:rPr>
        <w:t xml:space="preserve"> com </w:t>
      </w:r>
      <w:proofErr w:type="spellStart"/>
      <w:r w:rsidRPr="00D936D9">
        <w:rPr>
          <w:rFonts w:ascii="Arial" w:eastAsia="Times New Roman" w:hAnsi="Arial" w:cs="Arial"/>
          <w:color w:val="000000"/>
          <w:sz w:val="20"/>
          <w:szCs w:val="20"/>
          <w:lang w:eastAsia="pt-BR"/>
        </w:rPr>
        <w:t>frequência</w:t>
      </w:r>
      <w:proofErr w:type="spellEnd"/>
      <w:r w:rsidRPr="00D936D9">
        <w:rPr>
          <w:rFonts w:ascii="Arial" w:eastAsia="Times New Roman" w:hAnsi="Arial" w:cs="Arial"/>
          <w:color w:val="000000"/>
          <w:sz w:val="20"/>
          <w:szCs w:val="20"/>
          <w:lang w:eastAsia="pt-BR"/>
        </w:rPr>
        <w:t xml:space="preserve"> mínima semanal para que os usuários residentes e a equipe técnica possam discutir aspectos cotidianos do funcionamento da entidade;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 xml:space="preserve">IV - promoção de atividades individuais e coletivas de orientação sobre prevenção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com base em dados técnicos e científicos, bem como sobre os direitos dos usuários do Sistema Único de Saúde;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 - estímulo à participação dos usuários residentes nas ações propostas no Projeto Terapêutico Singular;</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VI - realização de reuniões de equipe com </w:t>
      </w:r>
      <w:proofErr w:type="spellStart"/>
      <w:r w:rsidRPr="00D936D9">
        <w:rPr>
          <w:rFonts w:ascii="Arial" w:eastAsia="Times New Roman" w:hAnsi="Arial" w:cs="Arial"/>
          <w:color w:val="000000"/>
          <w:sz w:val="20"/>
          <w:szCs w:val="20"/>
          <w:lang w:eastAsia="pt-BR"/>
        </w:rPr>
        <w:t>frequência</w:t>
      </w:r>
      <w:proofErr w:type="spellEnd"/>
      <w:r w:rsidRPr="00D936D9">
        <w:rPr>
          <w:rFonts w:ascii="Arial" w:eastAsia="Times New Roman" w:hAnsi="Arial" w:cs="Arial"/>
          <w:color w:val="000000"/>
          <w:sz w:val="20"/>
          <w:szCs w:val="20"/>
          <w:lang w:eastAsia="pt-BR"/>
        </w:rPr>
        <w:t xml:space="preserve"> mínima semanal;</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VII - manutenção, pela equipe técnica da entidade, de registro escrito, individualizado e sistemático contendo os dados relevantes da permanência do usuário residente;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VIII - observância às disposições contidas na Resolução nº 63, de 25 de novembro de 2011, da ANVISA.</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Subseção I</w:t>
      </w:r>
      <w:r w:rsidRPr="00D936D9">
        <w:rPr>
          <w:rFonts w:ascii="Arial" w:eastAsia="Times New Roman" w:hAnsi="Arial" w:cs="Arial"/>
          <w:color w:val="000000"/>
          <w:sz w:val="20"/>
          <w:szCs w:val="20"/>
          <w:lang w:eastAsia="pt-BR"/>
        </w:rPr>
        <w:br/>
        <w:t>Da Estrutura dos Serviços de Atenção em Regime Residencial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9º A entidade prestadora de serviço de atenção em regime residencial estará instalada em:</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 - estrutura física independente e situada fora dos limites de unidade hospitalar geral ou especializada, inclusive hospital psiquiátrico;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local que permita acesso facilitado para a reinserção do usuário residente em sua comunidade de origem.</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Parágrafo único. Fica vedado o uso de quarto de contenção e trancas que não permitam a livre circulação do usuário residente pelos ambientes acessíveis da entidade prestadora do serviço de atenção em regime residencial.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10. A estruturação da entidade prestadora de serviço de atenção em regime residencial observará as Resoluções da ANVISA de números 50, de 21 de fevereiro de 2002, e 29, de 30 de junho de 2011.</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Subseção II</w:t>
      </w:r>
      <w:r w:rsidRPr="00D936D9">
        <w:rPr>
          <w:rFonts w:ascii="Arial" w:eastAsia="Times New Roman" w:hAnsi="Arial" w:cs="Arial"/>
          <w:color w:val="000000"/>
          <w:sz w:val="20"/>
          <w:szCs w:val="20"/>
          <w:lang w:eastAsia="pt-BR"/>
        </w:rPr>
        <w:br/>
        <w:t>Da Equipe Técnica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11. Cada módulo de 15 (quinze) vagas para usuários residentes contará com equipe técnica mínima composta por:</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 - 1 (um) coordenador, profissional de saúde de nível universitário com pós-graduação lato senso (mínimo de 36 horas-aula) ou experiência comprovada de pelo menos </w:t>
      </w:r>
      <w:proofErr w:type="gramStart"/>
      <w:r w:rsidRPr="00D936D9">
        <w:rPr>
          <w:rFonts w:ascii="Arial" w:eastAsia="Times New Roman" w:hAnsi="Arial" w:cs="Arial"/>
          <w:color w:val="000000"/>
          <w:sz w:val="20"/>
          <w:szCs w:val="20"/>
          <w:lang w:eastAsia="pt-BR"/>
        </w:rPr>
        <w:t>4</w:t>
      </w:r>
      <w:proofErr w:type="gramEnd"/>
      <w:r w:rsidRPr="00D936D9">
        <w:rPr>
          <w:rFonts w:ascii="Arial" w:eastAsia="Times New Roman" w:hAnsi="Arial" w:cs="Arial"/>
          <w:color w:val="000000"/>
          <w:sz w:val="20"/>
          <w:szCs w:val="20"/>
          <w:lang w:eastAsia="pt-BR"/>
        </w:rPr>
        <w:t xml:space="preserve"> (quatro) anos na área de cuidados com pessoas com necessidades de saúde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presente diariamente das 7 às 19 horas, em todos os dias da semana, inclusive finais de semana e feriados;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II - no mínimo </w:t>
      </w:r>
      <w:proofErr w:type="gramStart"/>
      <w:r w:rsidRPr="00D936D9">
        <w:rPr>
          <w:rFonts w:ascii="Arial" w:eastAsia="Times New Roman" w:hAnsi="Arial" w:cs="Arial"/>
          <w:color w:val="000000"/>
          <w:sz w:val="20"/>
          <w:szCs w:val="20"/>
          <w:lang w:eastAsia="pt-BR"/>
        </w:rPr>
        <w:t>2</w:t>
      </w:r>
      <w:proofErr w:type="gramEnd"/>
      <w:r w:rsidRPr="00D936D9">
        <w:rPr>
          <w:rFonts w:ascii="Arial" w:eastAsia="Times New Roman" w:hAnsi="Arial" w:cs="Arial"/>
          <w:color w:val="000000"/>
          <w:sz w:val="20"/>
          <w:szCs w:val="20"/>
          <w:lang w:eastAsia="pt-BR"/>
        </w:rPr>
        <w:t xml:space="preserve"> (dois) profissionais de saúde de nível médio, com experiência na área de cuidados com pessoas com necessidades de saúde decorrentes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presentes nas 24 (vinte e quatro) horas do dia e em todos os dias da semana, inclusive finais de semana e feriados.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12. Os profissionais integrantes da equipe técnica da entidade prestadora de serviço de atenção em regime residencial deverão participar regularmente de processos de educação permanente, promovidos pela própria entidade ou pelos gestores do SUS.</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Subseção I</w:t>
      </w:r>
      <w:r w:rsidRPr="00D936D9">
        <w:rPr>
          <w:rFonts w:ascii="Arial" w:eastAsia="Times New Roman" w:hAnsi="Arial" w:cs="Arial"/>
          <w:color w:val="000000"/>
          <w:sz w:val="20"/>
          <w:szCs w:val="20"/>
          <w:lang w:eastAsia="pt-BR"/>
        </w:rPr>
        <w:br/>
        <w:t>Do Ingresso de Novos Usuários Residentes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13. O ingresso de residentes no serviço de atenção em regime residencial será condicionado ao consentimento expresso do usuário e dependerá de avaliação prévia pelo CAPS de referência. Parágrafo único. A entrada de novos residentes poderá ser indicada por Equipe de Atenção Básica, em avaliação conjunta com o CAPS de referência.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14. A avaliação para ingresso no serviço de atenção em regime residencial será realizada por equipe multidisciplinar e incluirá atendimento individual do usuário e, se possível, de sua família.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1º A avaliação definida no caput levará em consideração os seguintes referenciais: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 - esclarecimento do usuário sobre: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 o modo de funcionamento do serviço de atenção em regime residencial;</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b) os objetivos da utilização do serviço de atenção em regime residencial em seu tratamento;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II - avaliação do risco de complicações clínicas diretas e indiretas do uso de álcool, </w:t>
      </w:r>
      <w:proofErr w:type="spellStart"/>
      <w:r w:rsidRPr="00D936D9">
        <w:rPr>
          <w:rFonts w:ascii="Arial" w:eastAsia="Times New Roman" w:hAnsi="Arial" w:cs="Arial"/>
          <w:color w:val="000000"/>
          <w:sz w:val="20"/>
          <w:szCs w:val="20"/>
          <w:lang w:eastAsia="pt-BR"/>
        </w:rPr>
        <w:t>crack</w:t>
      </w:r>
      <w:proofErr w:type="spellEnd"/>
      <w:r w:rsidRPr="00D936D9">
        <w:rPr>
          <w:rFonts w:ascii="Arial" w:eastAsia="Times New Roman" w:hAnsi="Arial" w:cs="Arial"/>
          <w:color w:val="000000"/>
          <w:sz w:val="20"/>
          <w:szCs w:val="20"/>
          <w:lang w:eastAsia="pt-BR"/>
        </w:rPr>
        <w:t xml:space="preserve"> e outras drogas, ou de outras condições de saúde do usuário que necessitem de cuidado especializado e intensivo de saúde que não esteja disponível em um serviço de saúde de atenção residencial transitória;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III - proporcionar ao usuário, sempre que possível, uma visita prévia à entidade prestadora do serviço de atenção em regime residencial, para demonstração prática da proposta de trabalho.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2º A avaliação definida no caput servirá de base para a elaboração do Projeto Terapêutico Singular, a ser registrado em prontuário do CAPS e/ou da Equipe de Atenção Básica.</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Subseção II</w:t>
      </w:r>
      <w:r w:rsidRPr="00D936D9">
        <w:rPr>
          <w:rFonts w:ascii="Arial" w:eastAsia="Times New Roman" w:hAnsi="Arial" w:cs="Arial"/>
          <w:color w:val="000000"/>
          <w:sz w:val="20"/>
          <w:szCs w:val="20"/>
          <w:lang w:eastAsia="pt-BR"/>
        </w:rPr>
        <w:br/>
        <w:t>Do Acompanhamento Clínico do Usuário Residente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15. O Projeto Terapêutico Singular deverá ser desenvolvido na entidade prestadora do serviço de atenção em regime residencial, com o acompanhamento do CAPS de referência, da Equipe de Atenção Básica e de outros serviços sócio-assistenciais, conforme as peculiaridades de cada caso.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16. O CAPS de referência permanece responsável pela gestão do cuidado e do Projeto Terapêutico Singular durante todo o período de permanência do usuário residente na entidade prestadora do serviço de atenção em regime residencial.</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17. A equipe técnica do CAPS de referência acompanhará o tratamento do usuário residente por meio das seguintes medidas:</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 - contato no mínimo quinzenal entre o usuário e a equipe técnica do CAPS, por meio de atendimento no próprio CAPS ou visita à entidade prestadora, com o registro de todos os contatos em prontuário;</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II - realização do primeiro contato entre o usuário residente e a equipe técnica em até 02 (dois) dias do ingresso no serviço de atenção em regime domiciliar;</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III - continuidade no acompanhamento dos familiares e pessoas da rede social do residente pela equipe técnica do CAPS, com a realização de no mínimo um atendimento mensal, domiciliar ou no próprio CAPS, e/ou com a participação em atividades de grupo dirigidas; e</w:t>
      </w:r>
    </w:p>
    <w:p w:rsidR="00D936D9" w:rsidRPr="00D936D9" w:rsidRDefault="00D936D9" w:rsidP="00D936D9">
      <w:pPr>
        <w:spacing w:before="100" w:beforeAutospacing="1" w:after="100" w:afterAutospacing="1" w:line="240" w:lineRule="auto"/>
        <w:ind w:left="750"/>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IV - contato no mínimo quinzenal entre a equipe técnica do CAPS de referência e a equipe do serviço de atenção em regime residencial, por meio de reuniões conjuntas registradas em prontuário.</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Subseção III</w:t>
      </w:r>
      <w:r w:rsidRPr="00D936D9">
        <w:rPr>
          <w:rFonts w:ascii="Arial" w:eastAsia="Times New Roman" w:hAnsi="Arial" w:cs="Arial"/>
          <w:color w:val="000000"/>
          <w:sz w:val="20"/>
          <w:szCs w:val="20"/>
          <w:lang w:eastAsia="pt-BR"/>
        </w:rPr>
        <w:br/>
        <w:t>Da Saída do Usuário Residente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18. A saída do usuário residente será programada em conjunto pelas equipes técnicas do serviço de atenção em regime residencial e do CAPS de referência.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19. Na programação da saída do usuário residente, serão buscadas parcerias que visem a sua inclusão social, com moradia, suporte familiar, geração de trabalho e renda, integração ou reintegração escolar e outras medidas, conforme as peculiaridades do caso.</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Art. 20. Em até </w:t>
      </w:r>
      <w:proofErr w:type="gramStart"/>
      <w:r w:rsidRPr="00D936D9">
        <w:rPr>
          <w:rFonts w:ascii="Arial" w:eastAsia="Times New Roman" w:hAnsi="Arial" w:cs="Arial"/>
          <w:color w:val="000000"/>
          <w:sz w:val="20"/>
          <w:szCs w:val="20"/>
          <w:lang w:eastAsia="pt-BR"/>
        </w:rPr>
        <w:t>5</w:t>
      </w:r>
      <w:proofErr w:type="gramEnd"/>
      <w:r w:rsidRPr="00D936D9">
        <w:rPr>
          <w:rFonts w:ascii="Arial" w:eastAsia="Times New Roman" w:hAnsi="Arial" w:cs="Arial"/>
          <w:color w:val="000000"/>
          <w:sz w:val="20"/>
          <w:szCs w:val="20"/>
          <w:lang w:eastAsia="pt-BR"/>
        </w:rPr>
        <w:t xml:space="preserve"> (cinco) dias antes da data prevista para </w:t>
      </w:r>
      <w:proofErr w:type="spellStart"/>
      <w:r w:rsidRPr="00D936D9">
        <w:rPr>
          <w:rFonts w:ascii="Arial" w:eastAsia="Times New Roman" w:hAnsi="Arial" w:cs="Arial"/>
          <w:color w:val="000000"/>
          <w:sz w:val="20"/>
          <w:szCs w:val="20"/>
          <w:lang w:eastAsia="pt-BR"/>
        </w:rPr>
        <w:t>asaída</w:t>
      </w:r>
      <w:proofErr w:type="spellEnd"/>
      <w:r w:rsidRPr="00D936D9">
        <w:rPr>
          <w:rFonts w:ascii="Arial" w:eastAsia="Times New Roman" w:hAnsi="Arial" w:cs="Arial"/>
          <w:color w:val="000000"/>
          <w:sz w:val="20"/>
          <w:szCs w:val="20"/>
          <w:lang w:eastAsia="pt-BR"/>
        </w:rPr>
        <w:t xml:space="preserve"> do usuário residente, as equipes técnicas do CAPS de referência e do serviço de atenção em regime residencial realização reunião com a participação do usuário e de sua família.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Parágrafo único. Na reunião referida no caput poderá ser definida a permanência do usuário residente no serviço de atenção em regime domiciliar, com a reavaliação da programação de saída.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21. Todo usuário residente será livre para interromper a qualquer momento a sua permanência no serviço de atenção em regime domiciliar.</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Parágrafo único. O usuário residente que manifestar a vontade de deixar o serviço de atenção em regime residencial será informado das </w:t>
      </w:r>
      <w:proofErr w:type="spellStart"/>
      <w:r w:rsidRPr="00D936D9">
        <w:rPr>
          <w:rFonts w:ascii="Arial" w:eastAsia="Times New Roman" w:hAnsi="Arial" w:cs="Arial"/>
          <w:color w:val="000000"/>
          <w:sz w:val="20"/>
          <w:szCs w:val="20"/>
          <w:lang w:eastAsia="pt-BR"/>
        </w:rPr>
        <w:t>consequências</w:t>
      </w:r>
      <w:proofErr w:type="spellEnd"/>
      <w:r w:rsidRPr="00D936D9">
        <w:rPr>
          <w:rFonts w:ascii="Arial" w:eastAsia="Times New Roman" w:hAnsi="Arial" w:cs="Arial"/>
          <w:color w:val="000000"/>
          <w:sz w:val="20"/>
          <w:szCs w:val="20"/>
          <w:lang w:eastAsia="pt-BR"/>
        </w:rPr>
        <w:t xml:space="preserve"> clínicas da saída antecipada.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22. O coordenador da entidade prestadora do serviço de atenção em regime residencial poderá interromper a permanência do usuário residente a qualquer tempo, conforme critérios técnicos e em consenso com a equipe técnica do CAPS de referência.</w:t>
      </w:r>
    </w:p>
    <w:p w:rsidR="00D936D9" w:rsidRPr="00D936D9" w:rsidRDefault="00D936D9" w:rsidP="00D936D9">
      <w:pPr>
        <w:spacing w:before="100" w:beforeAutospacing="1" w:after="100" w:afterAutospacing="1" w:line="240" w:lineRule="auto"/>
        <w:jc w:val="center"/>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CAPÍTULO III</w:t>
      </w:r>
      <w:r w:rsidRPr="00D936D9">
        <w:rPr>
          <w:rFonts w:ascii="Arial" w:eastAsia="Times New Roman" w:hAnsi="Arial" w:cs="Arial"/>
          <w:color w:val="000000"/>
          <w:sz w:val="20"/>
          <w:szCs w:val="20"/>
          <w:lang w:eastAsia="pt-BR"/>
        </w:rPr>
        <w:br/>
        <w:t>DAS DISPOSIÇÕES FINAIS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23. O repasse regular do incentivo financeiro de que trata esta Portaria ficará vinculado à continuidade do cumprimento de todos os requisitos estabelecidos nesta Portaria.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xml:space="preserve">§ 1º As Secretarias de </w:t>
      </w:r>
      <w:proofErr w:type="gramStart"/>
      <w:r w:rsidRPr="00D936D9">
        <w:rPr>
          <w:rFonts w:ascii="Arial" w:eastAsia="Times New Roman" w:hAnsi="Arial" w:cs="Arial"/>
          <w:color w:val="000000"/>
          <w:sz w:val="20"/>
          <w:szCs w:val="20"/>
          <w:lang w:eastAsia="pt-BR"/>
        </w:rPr>
        <w:t>Saúde estaduais, municipais e distrital, com apoio técnico do Ministério da Saúde,</w:t>
      </w:r>
      <w:proofErr w:type="gramEnd"/>
      <w:r w:rsidRPr="00D936D9">
        <w:rPr>
          <w:rFonts w:ascii="Arial" w:eastAsia="Times New Roman" w:hAnsi="Arial" w:cs="Arial"/>
          <w:color w:val="000000"/>
          <w:sz w:val="20"/>
          <w:szCs w:val="20"/>
          <w:lang w:eastAsia="pt-BR"/>
        </w:rPr>
        <w:t xml:space="preserve"> estabelecerão rotinas de acompanhamento, supervisão, controle e avaliação do repasse de recursos e do funcionamento das entidades beneficiadas nos termos desta Portaria.</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 2º A aplicação dos recursos repassados e o cumprimentos dos requisitos estabelecidos nesta Portaria também serão monitorados pelo Departamento Nacional de Auditoria do SUS (DENASUS/ SGEP/MS).</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t>Art. 24. Os recursos orçamentários relativos às ações de que trata esta Portaria correrão por conta do orçamento do Ministério da Saúde, devendo onerar o Programa de Trabalho 10.302.1220.8585 - Atenção à Saúde da População para Procedimentos de Média e Alta Complexidade.</w:t>
      </w:r>
    </w:p>
    <w:p w:rsidR="00D936D9" w:rsidRPr="00D936D9" w:rsidRDefault="00D936D9" w:rsidP="00D936D9">
      <w:pPr>
        <w:spacing w:before="100" w:beforeAutospacing="1" w:after="100" w:afterAutospacing="1" w:line="240" w:lineRule="auto"/>
        <w:ind w:firstLine="567"/>
        <w:jc w:val="both"/>
        <w:rPr>
          <w:rFonts w:ascii="Arial" w:eastAsia="Times New Roman" w:hAnsi="Arial" w:cs="Arial"/>
          <w:color w:val="000000"/>
          <w:sz w:val="20"/>
          <w:szCs w:val="20"/>
          <w:lang w:eastAsia="pt-BR"/>
        </w:rPr>
      </w:pPr>
      <w:r w:rsidRPr="00D936D9">
        <w:rPr>
          <w:rFonts w:ascii="Arial" w:eastAsia="Times New Roman" w:hAnsi="Arial" w:cs="Arial"/>
          <w:color w:val="000000"/>
          <w:sz w:val="20"/>
          <w:szCs w:val="20"/>
          <w:lang w:eastAsia="pt-BR"/>
        </w:rPr>
        <w:lastRenderedPageBreak/>
        <w:t>Art. 25. Esta Portaria entra em vigor em 1º de fevereiro de 2012.</w:t>
      </w:r>
    </w:p>
    <w:p w:rsidR="00D936D9" w:rsidRPr="00D936D9" w:rsidRDefault="00D936D9" w:rsidP="00D936D9">
      <w:pPr>
        <w:spacing w:before="100" w:beforeAutospacing="1" w:after="100" w:afterAutospacing="1" w:line="240" w:lineRule="auto"/>
        <w:jc w:val="center"/>
        <w:outlineLvl w:val="1"/>
        <w:rPr>
          <w:rFonts w:ascii="Arial" w:eastAsia="Times New Roman" w:hAnsi="Arial" w:cs="Arial"/>
          <w:b/>
          <w:bCs/>
          <w:color w:val="000000"/>
          <w:sz w:val="21"/>
          <w:szCs w:val="21"/>
          <w:lang w:eastAsia="pt-BR"/>
        </w:rPr>
      </w:pPr>
      <w:r w:rsidRPr="00D936D9">
        <w:rPr>
          <w:rFonts w:ascii="Arial" w:eastAsia="Times New Roman" w:hAnsi="Arial" w:cs="Arial"/>
          <w:b/>
          <w:bCs/>
          <w:color w:val="000000"/>
          <w:sz w:val="21"/>
          <w:szCs w:val="21"/>
          <w:lang w:eastAsia="pt-BR"/>
        </w:rPr>
        <w:t>ALEXANDRE ROCHA SANTOS PADILHA</w:t>
      </w:r>
    </w:p>
    <w:p w:rsidR="00D936D9" w:rsidRPr="00D936D9" w:rsidRDefault="00D20210" w:rsidP="00D936D9">
      <w:pPr>
        <w:spacing w:line="240" w:lineRule="auto"/>
        <w:jc w:val="center"/>
        <w:rPr>
          <w:rFonts w:ascii="Verdana" w:eastAsia="Times New Roman" w:hAnsi="Verdana" w:cs="Times New Roman"/>
          <w:b/>
          <w:bCs/>
          <w:color w:val="003366"/>
          <w:sz w:val="17"/>
          <w:szCs w:val="17"/>
          <w:lang w:eastAsia="pt-BR"/>
        </w:rPr>
      </w:pPr>
      <w:hyperlink r:id="rId5" w:tgtFrame="_blank" w:tooltip="ir para página do Saúde Legis" w:history="1">
        <w:r w:rsidR="00D936D9" w:rsidRPr="00D936D9">
          <w:rPr>
            <w:rFonts w:ascii="Verdana" w:eastAsia="Times New Roman" w:hAnsi="Verdana" w:cs="Times New Roman"/>
            <w:b/>
            <w:bCs/>
            <w:color w:val="003366"/>
            <w:sz w:val="20"/>
            <w:lang w:eastAsia="pt-BR"/>
          </w:rPr>
          <w:t xml:space="preserve">Saúde </w:t>
        </w:r>
        <w:proofErr w:type="spellStart"/>
        <w:r w:rsidR="00D936D9" w:rsidRPr="00D936D9">
          <w:rPr>
            <w:rFonts w:ascii="Verdana" w:eastAsia="Times New Roman" w:hAnsi="Verdana" w:cs="Times New Roman"/>
            <w:b/>
            <w:bCs/>
            <w:color w:val="003366"/>
            <w:sz w:val="20"/>
            <w:lang w:eastAsia="pt-BR"/>
          </w:rPr>
          <w:t>Legis</w:t>
        </w:r>
        <w:proofErr w:type="spellEnd"/>
        <w:r w:rsidR="00D936D9" w:rsidRPr="00D936D9">
          <w:rPr>
            <w:rFonts w:ascii="Verdana" w:eastAsia="Times New Roman" w:hAnsi="Verdana" w:cs="Times New Roman"/>
            <w:b/>
            <w:bCs/>
            <w:color w:val="003366"/>
            <w:sz w:val="20"/>
            <w:lang w:eastAsia="pt-BR"/>
          </w:rPr>
          <w:t xml:space="preserve"> - Sistema de Legislação da Saúde</w:t>
        </w:r>
      </w:hyperlink>
    </w:p>
    <w:p w:rsidR="000848DB" w:rsidRDefault="000848DB"/>
    <w:sectPr w:rsidR="000848DB" w:rsidSect="000848D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936D9"/>
    <w:rsid w:val="000848DB"/>
    <w:rsid w:val="00096E49"/>
    <w:rsid w:val="00D20210"/>
    <w:rsid w:val="00D936D9"/>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8DB"/>
  </w:style>
  <w:style w:type="paragraph" w:styleId="Ttulo1">
    <w:name w:val="heading 1"/>
    <w:basedOn w:val="Normal"/>
    <w:link w:val="Ttulo1Char"/>
    <w:uiPriority w:val="9"/>
    <w:qFormat/>
    <w:rsid w:val="00D936D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D936D9"/>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D936D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D936D9"/>
    <w:rPr>
      <w:rFonts w:ascii="Times New Roman" w:eastAsia="Times New Roman" w:hAnsi="Times New Roman" w:cs="Times New Roman"/>
      <w:b/>
      <w:bCs/>
      <w:sz w:val="36"/>
      <w:szCs w:val="36"/>
      <w:lang w:eastAsia="pt-BR"/>
    </w:rPr>
  </w:style>
  <w:style w:type="paragraph" w:styleId="NormalWeb">
    <w:name w:val="Normal (Web)"/>
    <w:basedOn w:val="Normal"/>
    <w:uiPriority w:val="99"/>
    <w:semiHidden/>
    <w:unhideWhenUsed/>
    <w:rsid w:val="00D936D9"/>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legendab">
    <w:name w:val="legendab"/>
    <w:basedOn w:val="Fontepargpadro"/>
    <w:rsid w:val="00D936D9"/>
  </w:style>
  <w:style w:type="paragraph" w:customStyle="1" w:styleId="ementa">
    <w:name w:val="ementa"/>
    <w:basedOn w:val="Normal"/>
    <w:rsid w:val="00D936D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er">
    <w:name w:val="texto_center"/>
    <w:basedOn w:val="Normal"/>
    <w:rsid w:val="00D936D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lineas">
    <w:name w:val="alineas"/>
    <w:basedOn w:val="Normal"/>
    <w:rsid w:val="00D936D9"/>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D936D9"/>
    <w:rPr>
      <w:color w:val="0000FF"/>
      <w:u w:val="single"/>
    </w:rPr>
  </w:style>
  <w:style w:type="paragraph" w:styleId="Textodebalo">
    <w:name w:val="Balloon Text"/>
    <w:basedOn w:val="Normal"/>
    <w:link w:val="TextodebaloChar"/>
    <w:uiPriority w:val="99"/>
    <w:semiHidden/>
    <w:unhideWhenUsed/>
    <w:rsid w:val="00D936D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936D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2217854">
      <w:bodyDiv w:val="1"/>
      <w:marLeft w:val="0"/>
      <w:marRight w:val="0"/>
      <w:marTop w:val="0"/>
      <w:marBottom w:val="0"/>
      <w:divBdr>
        <w:top w:val="none" w:sz="0" w:space="0" w:color="auto"/>
        <w:left w:val="none" w:sz="0" w:space="0" w:color="auto"/>
        <w:bottom w:val="none" w:sz="0" w:space="0" w:color="auto"/>
        <w:right w:val="none" w:sz="0" w:space="0" w:color="auto"/>
      </w:divBdr>
      <w:divsChild>
        <w:div w:id="179124939">
          <w:marLeft w:val="0"/>
          <w:marRight w:val="0"/>
          <w:marTop w:val="0"/>
          <w:marBottom w:val="0"/>
          <w:divBdr>
            <w:top w:val="single" w:sz="6" w:space="2" w:color="666666"/>
            <w:left w:val="none" w:sz="0" w:space="0" w:color="auto"/>
            <w:bottom w:val="single" w:sz="6" w:space="2" w:color="666666"/>
            <w:right w:val="none" w:sz="0" w:space="0" w:color="auto"/>
          </w:divBdr>
        </w:div>
        <w:div w:id="149099014">
          <w:marLeft w:val="0"/>
          <w:marRight w:val="0"/>
          <w:marTop w:val="150"/>
          <w:marBottom w:val="150"/>
          <w:divBdr>
            <w:top w:val="none" w:sz="0" w:space="0" w:color="auto"/>
            <w:left w:val="none" w:sz="0" w:space="0" w:color="auto"/>
            <w:bottom w:val="none" w:sz="0" w:space="0" w:color="auto"/>
            <w:right w:val="none" w:sz="0" w:space="0" w:color="auto"/>
          </w:divBdr>
        </w:div>
        <w:div w:id="264971313">
          <w:marLeft w:val="0"/>
          <w:marRight w:val="0"/>
          <w:marTop w:val="75"/>
          <w:marBottom w:val="300"/>
          <w:divBdr>
            <w:top w:val="none" w:sz="0" w:space="0" w:color="auto"/>
            <w:left w:val="none" w:sz="0" w:space="0" w:color="auto"/>
            <w:bottom w:val="none" w:sz="0" w:space="0" w:color="auto"/>
            <w:right w:val="none" w:sz="0" w:space="0" w:color="auto"/>
          </w:divBdr>
        </w:div>
        <w:div w:id="1936091610">
          <w:marLeft w:val="0"/>
          <w:marRight w:val="0"/>
          <w:marTop w:val="750"/>
          <w:marBottom w:val="300"/>
          <w:divBdr>
            <w:top w:val="single" w:sz="6" w:space="4" w:color="666666"/>
            <w:left w:val="none" w:sz="0" w:space="0" w:color="auto"/>
            <w:bottom w:val="single" w:sz="6" w:space="4" w:color="666666"/>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aude.gov.br/saudelegis" TargetMode="External"/><Relationship Id="rId4"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2868</Words>
  <Characters>15489</Characters>
  <Application>Microsoft Office Word</Application>
  <DocSecurity>0</DocSecurity>
  <Lines>129</Lines>
  <Paragraphs>36</Paragraphs>
  <ScaleCrop>false</ScaleCrop>
  <Company>Microsoft</Company>
  <LinksUpToDate>false</LinksUpToDate>
  <CharactersWithSpaces>18321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alvesrb</dc:creator>
  <cp:lastModifiedBy>alvesrb</cp:lastModifiedBy>
  <cp:revision>2</cp:revision>
  <dcterms:created xsi:type="dcterms:W3CDTF">2016-10-25T16:38:00Z</dcterms:created>
  <dcterms:modified xsi:type="dcterms:W3CDTF">2016-10-25T16:38:00Z</dcterms:modified>
</cp:coreProperties>
</file>