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360"/>
        <w:rPr>
          <w:color w:val="000000"/>
        </w:rPr>
      </w:pPr>
      <w:r>
        <w:rPr>
          <w:color w:val="000000"/>
        </w:rPr>
        <w:t>+</w:t>
        <w:drawing>
          <wp:anchor behindDoc="0" distT="0" distB="0" distL="133350" distR="114300" simplePos="0" locked="0" layoutInCell="1" allowOverlap="1" relativeHeight="2">
            <wp:simplePos x="0" y="0"/>
            <wp:positionH relativeFrom="column">
              <wp:posOffset>-228600</wp:posOffset>
            </wp:positionH>
            <wp:positionV relativeFrom="paragraph">
              <wp:posOffset>-716915</wp:posOffset>
            </wp:positionV>
            <wp:extent cx="632460" cy="695325"/>
            <wp:effectExtent l="0" t="0" r="0" b="0"/>
            <wp:wrapNone/>
            <wp:docPr id="1" name="Imagem 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3" descr=""/>
                    <pic:cNvPicPr>
                      <a:picLocks noChangeAspect="1" noChangeArrowheads="1"/>
                    </pic:cNvPicPr>
                  </pic:nvPicPr>
                  <pic:blipFill>
                    <a:blip r:embed="rId2"/>
                    <a:stretch>
                      <a:fillRect/>
                    </a:stretch>
                  </pic:blipFill>
                  <pic:spPr bwMode="auto">
                    <a:xfrm>
                      <a:off x="0" y="0"/>
                      <a:ext cx="632460" cy="695325"/>
                    </a:xfrm>
                    <a:prstGeom prst="rect">
                      <a:avLst/>
                    </a:prstGeom>
                  </pic:spPr>
                </pic:pic>
              </a:graphicData>
            </a:graphic>
          </wp:anchor>
        </w:drawing>
      </w:r>
      <w:r>
        <mc:AlternateContent>
          <mc:Choice Requires="wps">
            <w:drawing>
              <wp:anchor behindDoc="0" distT="0" distB="0" distL="114300" distR="114300" simplePos="0" locked="0" layoutInCell="1" allowOverlap="1" relativeHeight="4">
                <wp:simplePos x="0" y="0"/>
                <wp:positionH relativeFrom="column">
                  <wp:posOffset>523875</wp:posOffset>
                </wp:positionH>
                <wp:positionV relativeFrom="paragraph">
                  <wp:posOffset>-778510</wp:posOffset>
                </wp:positionV>
                <wp:extent cx="4427220" cy="838200"/>
                <wp:effectExtent l="0" t="0" r="0" b="0"/>
                <wp:wrapSquare wrapText="bothSides"/>
                <wp:docPr id="2" name=""/>
                <a:graphic xmlns:a="http://schemas.openxmlformats.org/drawingml/2006/main">
                  <a:graphicData uri="http://schemas.microsoft.com/office/word/2010/wordprocessingShape">
                    <wps:wsp>
                      <wps:cNvSpPr txBox="1"/>
                      <wps:spPr>
                        <a:xfrm>
                          <a:off x="0" y="0"/>
                          <a:ext cx="4427220" cy="838200"/>
                        </a:xfrm>
                        <a:prstGeom prst="rect"/>
                      </wps:spPr>
                      <wps:txbx>
                        <w:txbxContent>
                          <w:p>
                            <w:pPr>
                              <w:pStyle w:val="Contedodoquadro"/>
                              <w:rPr>
                                <w:sz w:val="20"/>
                                <w:szCs w:val="20"/>
                              </w:rPr>
                            </w:pPr>
                            <w:r>
                              <w:rPr>
                                <w:sz w:val="20"/>
                                <w:szCs w:val="20"/>
                              </w:rPr>
                              <w:t>ESTADO DE SANTA CATARINA</w:t>
                            </w:r>
                          </w:p>
                          <w:p>
                            <w:pPr>
                              <w:pStyle w:val="Contedodoquadro"/>
                              <w:rPr>
                                <w:sz w:val="20"/>
                                <w:szCs w:val="20"/>
                              </w:rPr>
                            </w:pPr>
                            <w:r>
                              <w:rPr>
                                <w:sz w:val="20"/>
                                <w:szCs w:val="20"/>
                              </w:rPr>
                              <w:t>SECRETARIA DE ESTADO DA SAÚDE</w:t>
                            </w:r>
                          </w:p>
                          <w:p>
                            <w:pPr>
                              <w:pStyle w:val="Contedodoquadro"/>
                              <w:rPr>
                                <w:sz w:val="20"/>
                                <w:szCs w:val="20"/>
                              </w:rPr>
                            </w:pPr>
                            <w:r>
                              <w:rPr>
                                <w:sz w:val="20"/>
                                <w:szCs w:val="20"/>
                              </w:rPr>
                              <w:t>SUPERINTENDÊNCIA DE PLANEJAMENTO E GESTÃO</w:t>
                            </w:r>
                          </w:p>
                          <w:p>
                            <w:pPr>
                              <w:pStyle w:val="Contedodoquadro"/>
                              <w:rPr/>
                            </w:pPr>
                            <w:r>
                              <w:rPr>
                                <w:sz w:val="20"/>
                                <w:szCs w:val="20"/>
                              </w:rPr>
                              <w:t>GERÊNCIA DE COORDENAÇÃO DA ATENÇÃO BÁSICA</w:t>
                            </w:r>
                          </w:p>
                        </w:txbxContent>
                      </wps:txbx>
                      <wps:bodyPr anchor="t" lIns="91440" tIns="45720" rIns="91440" bIns="45720">
                        <a:noAutofit/>
                      </wps:bodyPr>
                    </wps:wsp>
                  </a:graphicData>
                </a:graphic>
              </wp:anchor>
            </w:drawing>
          </mc:Choice>
          <mc:Fallback>
            <w:pict>
              <v:rect stroked="f" strokeweight="0pt" style="position:absolute;rotation:0;width:348.6pt;height:66pt;mso-wrap-distance-left:9pt;mso-wrap-distance-right:9pt;mso-wrap-distance-top:0pt;mso-wrap-distance-bottom:0pt;margin-top:-61.3pt;mso-position-vertical-relative:text;margin-left:41.25pt;mso-position-horizontal-relative:text">
                <v:textbox>
                  <w:txbxContent>
                    <w:p>
                      <w:pPr>
                        <w:pStyle w:val="Contedodoquadro"/>
                        <w:rPr>
                          <w:sz w:val="20"/>
                          <w:szCs w:val="20"/>
                        </w:rPr>
                      </w:pPr>
                      <w:r>
                        <w:rPr>
                          <w:sz w:val="20"/>
                          <w:szCs w:val="20"/>
                        </w:rPr>
                        <w:t>ESTADO DE SANTA CATARINA</w:t>
                      </w:r>
                    </w:p>
                    <w:p>
                      <w:pPr>
                        <w:pStyle w:val="Contedodoquadro"/>
                        <w:rPr>
                          <w:sz w:val="20"/>
                          <w:szCs w:val="20"/>
                        </w:rPr>
                      </w:pPr>
                      <w:r>
                        <w:rPr>
                          <w:sz w:val="20"/>
                          <w:szCs w:val="20"/>
                        </w:rPr>
                        <w:t>SECRETARIA DE ESTADO DA SAÚDE</w:t>
                      </w:r>
                    </w:p>
                    <w:p>
                      <w:pPr>
                        <w:pStyle w:val="Contedodoquadro"/>
                        <w:rPr>
                          <w:sz w:val="20"/>
                          <w:szCs w:val="20"/>
                        </w:rPr>
                      </w:pPr>
                      <w:r>
                        <w:rPr>
                          <w:sz w:val="20"/>
                          <w:szCs w:val="20"/>
                        </w:rPr>
                        <w:t>SUPERINTENDÊNCIA DE PLANEJAMENTO E GESTÃO</w:t>
                      </w:r>
                    </w:p>
                    <w:p>
                      <w:pPr>
                        <w:pStyle w:val="Contedodoquadro"/>
                        <w:rPr/>
                      </w:pPr>
                      <w:r>
                        <w:rPr>
                          <w:sz w:val="20"/>
                          <w:szCs w:val="20"/>
                        </w:rPr>
                        <w:t>GERÊNCIA DE COORDENAÇÃO DA ATENÇÃO BÁSICA</w:t>
                      </w:r>
                    </w:p>
                  </w:txbxContent>
                </v:textbox>
                <w10:wrap type="square"/>
              </v:rect>
            </w:pict>
          </mc:Fallback>
        </mc:AlternateContent>
      </w:r>
    </w:p>
    <w:p>
      <w:pPr>
        <w:pStyle w:val="Normal"/>
        <w:spacing w:lineRule="auto" w:line="360"/>
        <w:rPr>
          <w:color w:val="000000"/>
        </w:rPr>
      </w:pPr>
      <w:r>
        <w:rPr>
          <w:color w:val="000000"/>
        </w:rPr>
      </w:r>
    </w:p>
    <w:p>
      <w:pPr>
        <w:pStyle w:val="Corpodetextorecuado"/>
        <w:spacing w:lineRule="auto" w:line="360" w:before="0" w:after="0"/>
        <w:ind w:left="0" w:hanging="0"/>
        <w:jc w:val="left"/>
        <w:rPr>
          <w:b/>
          <w:b/>
          <w:color w:val="000000"/>
        </w:rPr>
      </w:pPr>
      <w:r>
        <w:rPr>
          <w:rFonts w:eastAsia="Arial" w:cs="Arial"/>
          <w:b/>
          <w:color w:val="000000"/>
          <w:sz w:val="22"/>
          <w:szCs w:val="22"/>
          <w:highlight w:val="white"/>
        </w:rPr>
        <w:t xml:space="preserve">1.  </w:t>
      </w:r>
      <w:r>
        <w:rPr>
          <w:rFonts w:eastAsia="Arial" w:cs="Arial"/>
          <w:b/>
          <w:color w:val="000000"/>
          <w:sz w:val="28"/>
          <w:szCs w:val="28"/>
          <w:highlight w:val="white"/>
        </w:rPr>
        <w:t>Política Estadual de Atenção Integral à Saúde do Homem em S</w:t>
      </w:r>
      <w:r>
        <w:rPr>
          <w:rFonts w:eastAsia="Arial" w:cs="Arial"/>
          <w:b/>
          <w:color w:val="000000"/>
          <w:sz w:val="28"/>
          <w:szCs w:val="28"/>
        </w:rPr>
        <w:t>C</w:t>
      </w:r>
    </w:p>
    <w:p>
      <w:pPr>
        <w:pStyle w:val="Corpodetextorecuado"/>
        <w:spacing w:lineRule="auto" w:line="360" w:before="0" w:after="0"/>
        <w:ind w:left="0" w:hanging="0"/>
        <w:jc w:val="left"/>
        <w:rPr>
          <w:rFonts w:eastAsia="Arial" w:cs="Arial"/>
          <w:sz w:val="28"/>
          <w:szCs w:val="28"/>
          <w:highlight w:val="white"/>
        </w:rPr>
      </w:pPr>
      <w:r>
        <w:rPr>
          <w:rFonts w:eastAsia="Arial" w:cs="Arial"/>
          <w:sz w:val="28"/>
          <w:szCs w:val="28"/>
          <w:highlight w:val="white"/>
        </w:rPr>
      </w:r>
    </w:p>
    <w:p>
      <w:pPr>
        <w:pStyle w:val="Corpodetextorecuado"/>
        <w:spacing w:lineRule="auto" w:line="360" w:before="0" w:after="0"/>
        <w:ind w:left="0" w:hanging="0"/>
        <w:jc w:val="left"/>
        <w:rPr>
          <w:rFonts w:eastAsia="Arial" w:cs="Arial"/>
          <w:color w:val="000000"/>
          <w:highlight w:val="white"/>
        </w:rPr>
      </w:pPr>
      <w:r>
        <w:rPr>
          <w:rFonts w:cs="Arial"/>
          <w:color w:val="000000"/>
          <w:shd w:fill="FFFFFF" w:val="clear"/>
        </w:rPr>
        <w:t xml:space="preserve"> </w:t>
      </w:r>
      <w:r>
        <w:rPr>
          <w:rFonts w:eastAsia="Arial" w:cs="Arial"/>
          <w:color w:val="000000"/>
          <w:highlight w:val="white"/>
        </w:rPr>
        <w:t>A Política Nacional de Atenção Integral à Saúde do Homem (PNAISH), preconizada pelo Ministério da Saúde e adotada por SC, tem como objetivo facilitar e ampliar o acesso da população masculina aos cuidados em saúde, promovendo assim, ações de saúde inseridas na singularidade, alinhada à Política Nacional de Atenção Básica, porta de entrada do Sistema Único de Saúde (SUS).</w:t>
      </w:r>
    </w:p>
    <w:p>
      <w:pPr>
        <w:pStyle w:val="Corpodetextorecuado"/>
        <w:spacing w:lineRule="auto" w:line="360" w:before="0" w:after="0"/>
        <w:ind w:left="0" w:hanging="0"/>
        <w:jc w:val="left"/>
        <w:rPr>
          <w:color w:val="000000"/>
        </w:rPr>
      </w:pPr>
      <w:r>
        <w:rPr>
          <w:rFonts w:eastAsia="Arial" w:cs="Arial"/>
          <w:color w:val="000000"/>
          <w:highlight w:val="white"/>
        </w:rPr>
        <w:t xml:space="preserve">O Ministério da Saúde institui a PNAISH para homens de 20 a 59 anos, através da Portaria </w:t>
      </w:r>
    </w:p>
    <w:p>
      <w:pPr>
        <w:pStyle w:val="Corpodetextorecuado"/>
        <w:spacing w:lineRule="auto" w:line="360" w:before="0" w:after="0"/>
        <w:ind w:left="0" w:hanging="0"/>
        <w:jc w:val="left"/>
        <w:rPr>
          <w:color w:val="000000"/>
        </w:rPr>
      </w:pPr>
      <w:r>
        <w:rPr>
          <w:rFonts w:eastAsia="Arial" w:cs="Arial"/>
          <w:color w:val="000000"/>
          <w:highlight w:val="white"/>
        </w:rPr>
        <w:t>nº 1.944/GM, de 27 de agosto de 2009, com 05 eixos temáticos:</w:t>
      </w:r>
    </w:p>
    <w:p>
      <w:pPr>
        <w:pStyle w:val="Corpodetextorecuado"/>
        <w:spacing w:lineRule="auto" w:line="360" w:before="0" w:after="0"/>
        <w:ind w:left="0" w:hanging="0"/>
        <w:jc w:val="left"/>
        <w:rPr>
          <w:rFonts w:eastAsia="Arial" w:cs="Arial"/>
          <w:color w:val="000000"/>
          <w:highlight w:val="white"/>
        </w:rPr>
      </w:pPr>
      <w:r>
        <w:rPr>
          <w:rFonts w:eastAsia="Arial" w:cs="Arial"/>
          <w:color w:val="000000"/>
          <w:highlight w:val="white"/>
        </w:rPr>
      </w:r>
    </w:p>
    <w:p>
      <w:pPr>
        <w:pStyle w:val="Normal"/>
        <w:spacing w:lineRule="auto" w:line="360" w:before="0" w:after="150"/>
        <w:rPr/>
      </w:pPr>
      <w:r>
        <w:rPr>
          <w:rStyle w:val="Nfaseforte"/>
          <w:color w:val="000000"/>
        </w:rPr>
        <w:t xml:space="preserve">   </w:t>
      </w:r>
      <w:r>
        <w:rPr>
          <w:rStyle w:val="Nfaseforte"/>
          <w:color w:val="000000"/>
        </w:rPr>
        <w:t xml:space="preserve">1. Acesso e Acolhimento: </w:t>
      </w:r>
      <w:r>
        <w:rPr>
          <w:color w:val="000000"/>
        </w:rPr>
        <w:t>objetiva reorganizar as ações de saúde, através de uma proposta inclusiva, na qual os homens considerem os serviços de saúde também como espaços masculinos e, por sua vez, os serviços reconheçam os homens como sujeitos que necessitam de cuidados;</w:t>
      </w:r>
    </w:p>
    <w:p>
      <w:pPr>
        <w:pStyle w:val="Corpodetexto"/>
        <w:spacing w:lineRule="auto" w:line="360" w:before="0" w:after="150"/>
        <w:rPr/>
      </w:pPr>
      <w:r>
        <w:rPr>
          <w:rStyle w:val="Nfaseforte"/>
          <w:color w:val="000000"/>
        </w:rPr>
        <w:t xml:space="preserve">  </w:t>
      </w:r>
      <w:r>
        <w:rPr>
          <w:rStyle w:val="Nfaseforte"/>
          <w:color w:val="000000"/>
        </w:rPr>
        <w:t xml:space="preserve">2. Saúde Sexual e Reprodutiva: </w:t>
      </w:r>
      <w:r>
        <w:rPr>
          <w:color w:val="000000"/>
        </w:rPr>
        <w:t>busca sensibilizar gestores(as), profissionais de saúde e a população em geral para reconhecer os homens como sujeitos de direitos sexuais e reprodutivos,  envolvendo-os nas ações voltadas a esse fim e implementando estratégias para aproximá-los desta temática;</w:t>
      </w:r>
    </w:p>
    <w:p>
      <w:pPr>
        <w:pStyle w:val="Corpodetexto"/>
        <w:spacing w:lineRule="auto" w:line="360" w:before="0" w:after="150"/>
        <w:rPr/>
      </w:pPr>
      <w:r>
        <w:rPr>
          <w:rStyle w:val="Nfaseforte"/>
          <w:color w:val="000000"/>
        </w:rPr>
        <w:t xml:space="preserve">  </w:t>
      </w:r>
      <w:r>
        <w:rPr>
          <w:rStyle w:val="Nfaseforte"/>
          <w:color w:val="000000"/>
        </w:rPr>
        <w:t xml:space="preserve">3. Paternidade e Cuidado: </w:t>
      </w:r>
      <w:r>
        <w:rPr>
          <w:color w:val="000000"/>
        </w:rPr>
        <w:t>objetiva sensibilizar gestores(as), profissionais de saúde e a população em geral sobre os benefícios do envolvimento ativo dos homens  em todas as fases da gestação e nas ações de cuidado com seus filhos, destacando como esta participação pode trazer saúde, bem-estar e fortalecimento de vínculos saudáveis entre crianças, homens e suas(eus) parceiras(os);</w:t>
      </w:r>
    </w:p>
    <w:p>
      <w:pPr>
        <w:pStyle w:val="Corpodetexto"/>
        <w:spacing w:lineRule="auto" w:line="360" w:before="0" w:after="150"/>
        <w:rPr/>
      </w:pPr>
      <w:r>
        <w:rPr>
          <w:rStyle w:val="Nfaseforte"/>
          <w:color w:val="000000"/>
        </w:rPr>
        <w:t xml:space="preserve"> </w:t>
      </w:r>
      <w:r>
        <w:rPr>
          <w:rStyle w:val="Nfaseforte"/>
          <w:color w:val="000000"/>
        </w:rPr>
        <w:t xml:space="preserve">4. Doenças prevalentes na população masculina: </w:t>
      </w:r>
      <w:r>
        <w:rPr>
          <w:color w:val="000000"/>
        </w:rPr>
        <w:t>busca fortalecer a assistência básica no cuidado à saúde dos homens, facilitando e garantindo o acesso e a qualidade da atenção necessária ao enfrentamento dos fatores de risco das doenças e dos agravos à saúde;</w:t>
      </w:r>
    </w:p>
    <w:p>
      <w:pPr>
        <w:pStyle w:val="Corpodetexto"/>
        <w:spacing w:lineRule="auto" w:line="360" w:before="0" w:after="150"/>
        <w:rPr/>
      </w:pPr>
      <w:r>
        <w:rPr>
          <w:rStyle w:val="Nfaseforte"/>
          <w:color w:val="000000"/>
        </w:rPr>
        <w:t xml:space="preserve"> </w:t>
      </w:r>
      <w:r>
        <w:rPr>
          <w:rStyle w:val="Nfaseforte"/>
          <w:color w:val="000000"/>
        </w:rPr>
        <w:t>5. Prevenção de Violências e Acidentes</w:t>
      </w:r>
      <w:r>
        <w:rPr>
          <w:color w:val="000000"/>
        </w:rPr>
        <w:t>: visa propor e/ou desenvolver ações que chamem atenção para a grave e contundente relação entre a população masculina e as violências (em  especial a violência urbana) e acidentes, sensibilizando a população em geral e os profissionais de saúde sobre o tema.</w:t>
      </w:r>
    </w:p>
    <w:p>
      <w:pPr>
        <w:pStyle w:val="Normal"/>
        <w:spacing w:lineRule="auto" w:line="360" w:before="0" w:after="150"/>
        <w:rPr>
          <w:color w:val="FF0000"/>
        </w:rPr>
      </w:pPr>
      <w:r>
        <w:rPr>
          <w:rFonts w:cs="Arial"/>
          <w:color w:val="000000"/>
          <w:highlight w:val="white"/>
        </w:rPr>
        <w:t>Neste sentido, a constatação de agravos de morbimortalidade masculina, através dos dados disponíveis no Sistema de Informação de Mortalidade(SIM), de que homens buscam o cuidado em saúde por meio da atenção especializada, reconhecida por profissionais de saúde e gestores nos níveis municipal, estadual e federal, traz a necessidade de fortalecer e qualificar a atenção primária, privilegiando a promoção da saúde e a prevenção aos agravos evitáveis, além de diminuir custo para o SUS</w:t>
      </w:r>
      <w:r>
        <w:rPr>
          <w:rFonts w:cs="Arial"/>
          <w:color w:val="000000"/>
        </w:rPr>
        <w:t>.</w:t>
      </w:r>
    </w:p>
    <w:p>
      <w:pPr>
        <w:pStyle w:val="Normal"/>
        <w:spacing w:lineRule="auto" w:line="360" w:before="0" w:after="150"/>
        <w:rPr/>
      </w:pPr>
      <w:r>
        <w:rPr>
          <w:b/>
          <w:bCs/>
          <w:color w:val="000000"/>
        </w:rPr>
        <w:t xml:space="preserve">2. </w:t>
      </w:r>
      <w:r>
        <w:rPr>
          <w:color w:val="000000"/>
        </w:rPr>
        <w:t xml:space="preserve"> </w:t>
      </w:r>
      <w:r>
        <w:rPr>
          <w:b/>
          <w:bCs/>
          <w:color w:val="000000"/>
        </w:rPr>
        <w:t xml:space="preserve">Introdução e Métodos </w:t>
      </w:r>
    </w:p>
    <w:p>
      <w:pPr>
        <w:pStyle w:val="Normal"/>
        <w:spacing w:lineRule="auto" w:line="360" w:before="0" w:after="150"/>
        <w:rPr>
          <w:color w:val="000000"/>
        </w:rPr>
      </w:pPr>
      <w:r>
        <w:rPr>
          <w:rFonts w:cs="Arial"/>
          <w:color w:val="000000"/>
          <w:highlight w:val="white"/>
        </w:rPr>
        <w:t xml:space="preserve">Esses dados fazem referência ao percentual nas dez primeiras causas de: mortalidade por violências e acidentes; óbito; potenciais de vidas perdidas por óbito e número de internações hopitalares/ SUS. </w:t>
      </w:r>
    </w:p>
    <w:p>
      <w:pPr>
        <w:pStyle w:val="Normal"/>
        <w:spacing w:lineRule="auto" w:line="360" w:before="0" w:after="150"/>
        <w:rPr>
          <w:color w:val="000000"/>
        </w:rPr>
      </w:pPr>
      <w:r>
        <w:rPr>
          <w:rFonts w:cs="Arial"/>
          <w:color w:val="000000"/>
          <w:highlight w:val="white"/>
        </w:rPr>
        <w:t xml:space="preserve">As tabelas apresentam o tipo de causa, faixa etária de 20 a 59 anos, de acordo com a proposta da </w:t>
      </w:r>
      <w:r>
        <w:rPr>
          <w:rFonts w:eastAsia="Arial" w:cs="Arial"/>
          <w:color w:val="000000"/>
          <w:highlight w:val="white"/>
        </w:rPr>
        <w:t>PNAISH.</w:t>
      </w:r>
    </w:p>
    <w:p>
      <w:pPr>
        <w:pStyle w:val="Normal"/>
        <w:spacing w:lineRule="auto" w:line="360" w:before="0" w:after="150"/>
        <w:rPr>
          <w:color w:val="000000"/>
        </w:rPr>
      </w:pPr>
      <w:r>
        <w:rPr>
          <w:rFonts w:cs="Arial"/>
          <w:color w:val="000000"/>
          <w:highlight w:val="white"/>
        </w:rPr>
        <w:t xml:space="preserve">Tais dados foram classificados pelos capítulos da Classificação Internacional de Doenças – CID 10, disponível para consulta com todos os códigos correspondentes na página da Secretaria de Estado da Saúde – SIM/SC. </w:t>
      </w:r>
    </w:p>
    <w:p>
      <w:pPr>
        <w:pStyle w:val="Normal"/>
        <w:spacing w:lineRule="auto" w:line="360" w:before="0" w:after="150"/>
        <w:rPr>
          <w:color w:val="000000"/>
        </w:rPr>
      </w:pPr>
      <w:r>
        <w:rPr>
          <w:color w:val="000000"/>
        </w:rPr>
        <w:t xml:space="preserve">3. </w:t>
      </w:r>
      <w:r>
        <w:rPr>
          <w:b/>
          <w:bCs/>
          <w:color w:val="000000"/>
        </w:rPr>
        <w:t>Dados Demográficos</w:t>
      </w:r>
    </w:p>
    <w:p>
      <w:pPr>
        <w:pStyle w:val="Normal"/>
        <w:spacing w:lineRule="auto" w:line="360" w:before="0" w:after="150"/>
        <w:rPr>
          <w:color w:val="000000"/>
        </w:rPr>
      </w:pPr>
      <w:r>
        <w:rPr>
          <w:color w:val="000000"/>
        </w:rPr>
        <w:t xml:space="preserve"> </w:t>
      </w:r>
      <w:r>
        <w:rPr>
          <w:color w:val="000000"/>
        </w:rPr>
        <w:t xml:space="preserve">A população de Santa Catarina apresentou no ano de 2010, crescimento de 16,6% desde o Censo Demográfico realizado em 2000. De acordo com o Instituto Brasileiro de Geografia e Estatística (IBGE), em 2010, a população do Estado alcançou 6.248.436 habitantes, o equivalente a 3,3% da população do País. A distribuição populacional por gênero, apontou que os homens representavam 49,6% da população e as mulheres, 50,4%. </w:t>
      </w:r>
    </w:p>
    <w:p>
      <w:pPr>
        <w:pStyle w:val="Normal"/>
        <w:spacing w:lineRule="auto" w:line="360" w:before="0" w:after="150"/>
        <w:rPr>
          <w:color w:val="000000"/>
        </w:rPr>
      </w:pPr>
      <w:r>
        <w:rPr>
          <w:color w:val="000000"/>
        </w:rPr>
        <w:t>A tabela a seguir apresenta dados populacionais do Estado, segundo gênero e localização do domicílio (Tabela1)</w:t>
      </w:r>
    </w:p>
    <w:p>
      <w:pPr>
        <w:pStyle w:val="Normal"/>
        <w:spacing w:lineRule="auto" w:line="360" w:before="0" w:after="150"/>
        <w:rPr/>
      </w:pPr>
      <w:r>
        <w:rPr/>
      </w:r>
    </w:p>
    <w:p>
      <w:pPr>
        <w:pStyle w:val="Normal"/>
        <w:spacing w:lineRule="auto" w:line="360" w:before="0" w:after="150"/>
        <w:rPr/>
      </w:pPr>
      <w:r>
        <w:rPr/>
      </w:r>
    </w:p>
    <w:p>
      <w:pPr>
        <w:pStyle w:val="Normal"/>
        <w:spacing w:lineRule="auto" w:line="360" w:before="0" w:after="150"/>
        <w:rPr/>
      </w:pPr>
      <w:r>
        <w:rPr/>
      </w:r>
    </w:p>
    <w:p>
      <w:pPr>
        <w:pStyle w:val="Normal"/>
        <w:spacing w:lineRule="auto" w:line="360" w:before="0" w:after="150"/>
        <w:rPr/>
      </w:pPr>
      <w:r>
        <w:rPr/>
      </w:r>
    </w:p>
    <w:p>
      <w:pPr>
        <w:pStyle w:val="Normal"/>
        <w:spacing w:lineRule="auto" w:line="360" w:before="0" w:after="150"/>
        <w:rPr>
          <w:color w:val="000000"/>
          <w:sz w:val="20"/>
          <w:szCs w:val="20"/>
        </w:rPr>
      </w:pPr>
      <w:r>
        <w:rPr>
          <w:b/>
          <w:bCs/>
          <w:color w:val="000000"/>
          <w:sz w:val="20"/>
          <w:szCs w:val="20"/>
        </w:rPr>
        <w:t xml:space="preserve">Tabela 1 </w:t>
      </w:r>
      <w:r>
        <w:rPr>
          <w:color w:val="000000"/>
          <w:sz w:val="20"/>
          <w:szCs w:val="20"/>
        </w:rPr>
        <w:t>– População residente por localização do domicílio e gênero, em Santa Catarina, ano de 2012</w:t>
      </w:r>
    </w:p>
    <w:p>
      <w:pPr>
        <w:pStyle w:val="Normal"/>
        <w:spacing w:lineRule="auto" w:line="360"/>
        <w:rPr>
          <w:color w:val="000000"/>
          <w:sz w:val="20"/>
          <w:szCs w:val="20"/>
        </w:rPr>
      </w:pPr>
      <w:r>
        <w:drawing>
          <wp:anchor behindDoc="0" distT="0" distB="0" distL="0" distR="0" simplePos="0" locked="0" layoutInCell="1" allowOverlap="1" relativeHeight="3">
            <wp:simplePos x="0" y="0"/>
            <wp:positionH relativeFrom="column">
              <wp:posOffset>6350</wp:posOffset>
            </wp:positionH>
            <wp:positionV relativeFrom="paragraph">
              <wp:posOffset>27305</wp:posOffset>
            </wp:positionV>
            <wp:extent cx="5862955" cy="1266825"/>
            <wp:effectExtent l="0" t="0" r="0" b="0"/>
            <wp:wrapSquare wrapText="largest"/>
            <wp:docPr id="3" name="Figura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a1" descr=""/>
                    <pic:cNvPicPr>
                      <a:picLocks noChangeAspect="1" noChangeArrowheads="1"/>
                    </pic:cNvPicPr>
                  </pic:nvPicPr>
                  <pic:blipFill>
                    <a:blip r:embed="rId3"/>
                    <a:stretch>
                      <a:fillRect/>
                    </a:stretch>
                  </pic:blipFill>
                  <pic:spPr bwMode="auto">
                    <a:xfrm>
                      <a:off x="0" y="0"/>
                      <a:ext cx="5862955" cy="1266825"/>
                    </a:xfrm>
                    <a:prstGeom prst="rect">
                      <a:avLst/>
                    </a:prstGeom>
                  </pic:spPr>
                </pic:pic>
              </a:graphicData>
            </a:graphic>
          </wp:anchor>
        </w:drawing>
      </w:r>
      <w:r>
        <w:rPr>
          <w:color w:val="000000"/>
          <w:sz w:val="20"/>
          <w:szCs w:val="20"/>
        </w:rPr>
        <w:t>F</w:t>
      </w:r>
      <w:r>
        <w:rPr>
          <w:color w:val="000000"/>
          <w:sz w:val="20"/>
          <w:szCs w:val="20"/>
        </w:rPr>
        <w:t>onte IBGE</w:t>
      </w:r>
    </w:p>
    <w:p>
      <w:pPr>
        <w:pStyle w:val="Normal"/>
        <w:spacing w:lineRule="auto" w:line="360"/>
        <w:rPr>
          <w:color w:val="000000"/>
          <w:sz w:val="20"/>
          <w:szCs w:val="20"/>
        </w:rPr>
      </w:pPr>
      <w:r>
        <w:rPr>
          <w:color w:val="000000"/>
          <w:sz w:val="20"/>
          <w:szCs w:val="20"/>
        </w:rPr>
      </w:r>
    </w:p>
    <w:p>
      <w:pPr>
        <w:pStyle w:val="Normal"/>
        <w:spacing w:lineRule="auto" w:line="360" w:before="0" w:after="150"/>
        <w:rPr>
          <w:color w:val="000000"/>
        </w:rPr>
      </w:pPr>
      <w:r>
        <w:rPr>
          <w:b/>
          <w:bCs/>
          <w:color w:val="000000"/>
        </w:rPr>
        <w:t xml:space="preserve">4.  Perfil da </w:t>
      </w:r>
      <w:r>
        <w:rPr>
          <w:rFonts w:cs="Arial"/>
          <w:b/>
          <w:bCs/>
          <w:color w:val="000000"/>
          <w:highlight w:val="white"/>
        </w:rPr>
        <w:t>morbimortalidade em Santa Catarina no período de 2011 a 2016</w:t>
      </w:r>
      <w:r>
        <w:rPr>
          <w:b/>
          <w:bCs/>
          <w:color w:val="000000"/>
        </w:rPr>
        <w:t xml:space="preserve"> </w:t>
      </w:r>
    </w:p>
    <w:p>
      <w:pPr>
        <w:pStyle w:val="Normal"/>
        <w:spacing w:lineRule="auto" w:line="360" w:before="0" w:after="150"/>
        <w:rPr>
          <w:color w:val="000000"/>
        </w:rPr>
      </w:pPr>
      <w:r>
        <w:rPr>
          <w:rFonts w:cs="Arial"/>
          <w:color w:val="000000"/>
          <w:highlight w:val="white"/>
        </w:rPr>
        <w:t>Dentre as internações por mortalidade causadas por violências e acidentes e algumas outras consequências de causas externas, acidentes de transporte foi a principal causa  de internação masculina, seguido por homicídio, outros acidentes e suicídio, que teve taxas de 37.46 e 15.75 no ano de 2016, respectivamente ( Tabela 2).</w:t>
      </w:r>
    </w:p>
    <w:p>
      <w:pPr>
        <w:pStyle w:val="Normal"/>
        <w:spacing w:lineRule="auto" w:line="360"/>
        <w:rPr>
          <w:color w:val="000000"/>
          <w:sz w:val="20"/>
          <w:szCs w:val="20"/>
        </w:rPr>
      </w:pPr>
      <w:r>
        <w:rPr>
          <w:color w:val="000000"/>
          <w:sz w:val="20"/>
          <w:szCs w:val="20"/>
        </w:rPr>
        <w:t xml:space="preserve">Tabela 2. Mortalidade  por violências e acidentes  por grupo de  causa na população masculina de 20 a 59 anos em Santa Catarina de 2011 a 2016 </w:t>
      </w:r>
    </w:p>
    <w:tbl>
      <w:tblPr>
        <w:tblW w:w="8564" w:type="dxa"/>
        <w:jc w:val="left"/>
        <w:tblInd w:w="109" w:type="dxa"/>
        <w:tblBorders>
          <w:top w:val="single" w:sz="8" w:space="0" w:color="4F81BD"/>
          <w:bottom w:val="single" w:sz="4" w:space="0" w:color="00000A"/>
          <w:insideH w:val="single" w:sz="4" w:space="0" w:color="00000A"/>
        </w:tblBorders>
        <w:tblCellMar>
          <w:top w:w="0" w:type="dxa"/>
          <w:left w:w="108" w:type="dxa"/>
          <w:bottom w:w="0" w:type="dxa"/>
          <w:right w:w="108" w:type="dxa"/>
        </w:tblCellMar>
        <w:tblLook w:val="04a0"/>
      </w:tblPr>
      <w:tblGrid>
        <w:gridCol w:w="3177"/>
        <w:gridCol w:w="900"/>
        <w:gridCol w:w="859"/>
        <w:gridCol w:w="955"/>
        <w:gridCol w:w="859"/>
        <w:gridCol w:w="900"/>
        <w:gridCol w:w="913"/>
      </w:tblGrid>
      <w:tr>
        <w:trPr>
          <w:trHeight w:val="1124" w:hRule="atLeast"/>
        </w:trPr>
        <w:tc>
          <w:tcPr>
            <w:tcW w:w="3177" w:type="dxa"/>
            <w:tcBorders>
              <w:top w:val="single" w:sz="8" w:space="0" w:color="4F81BD"/>
              <w:bottom w:val="single" w:sz="4" w:space="0" w:color="00000A"/>
              <w:insideH w:val="single" w:sz="4" w:space="0" w:color="00000A"/>
            </w:tcBorders>
            <w:shd w:color="auto" w:fill="DBE5F1" w:val="clear"/>
            <w:vAlign w:val="center"/>
          </w:tcPr>
          <w:p>
            <w:pPr>
              <w:pStyle w:val="Normal"/>
              <w:spacing w:lineRule="auto" w:line="360"/>
              <w:rPr>
                <w:b/>
                <w:b/>
                <w:bCs/>
                <w:color w:val="000000"/>
                <w:sz w:val="22"/>
              </w:rPr>
            </w:pPr>
            <w:r>
              <w:rPr>
                <w:b/>
                <w:bCs/>
                <w:color w:val="000000"/>
                <w:sz w:val="22"/>
              </w:rPr>
            </w:r>
          </w:p>
          <w:p>
            <w:pPr>
              <w:pStyle w:val="Normal"/>
              <w:spacing w:lineRule="auto" w:line="360"/>
              <w:rPr>
                <w:b/>
                <w:b/>
                <w:bCs/>
                <w:color w:val="000000"/>
                <w:sz w:val="22"/>
              </w:rPr>
            </w:pPr>
            <w:r>
              <w:rPr>
                <w:b/>
                <w:bCs/>
                <w:color w:val="000000"/>
                <w:sz w:val="22"/>
                <w:szCs w:val="22"/>
              </w:rPr>
              <w:t xml:space="preserve">Capítulo CID-10 </w:t>
            </w:r>
          </w:p>
        </w:tc>
        <w:tc>
          <w:tcPr>
            <w:tcW w:w="900" w:type="dxa"/>
            <w:tcBorders>
              <w:top w:val="single" w:sz="4" w:space="0" w:color="00000A"/>
              <w:bottom w:val="single" w:sz="4" w:space="0" w:color="00000A"/>
              <w:insideH w:val="single" w:sz="4" w:space="0" w:color="00000A"/>
            </w:tcBorders>
            <w:shd w:color="auto" w:fill="DBE5F1" w:val="clear"/>
            <w:vAlign w:val="center"/>
          </w:tcPr>
          <w:p>
            <w:pPr>
              <w:pStyle w:val="Normal"/>
              <w:spacing w:lineRule="auto" w:line="360"/>
              <w:rPr>
                <w:b/>
                <w:b/>
                <w:bCs/>
                <w:color w:val="000000"/>
                <w:sz w:val="22"/>
              </w:rPr>
            </w:pPr>
            <w:r>
              <w:rPr>
                <w:b/>
                <w:bCs/>
                <w:color w:val="000000"/>
                <w:sz w:val="22"/>
              </w:rPr>
            </w:r>
          </w:p>
          <w:p>
            <w:pPr>
              <w:pStyle w:val="Normal"/>
              <w:spacing w:lineRule="auto" w:line="360"/>
              <w:rPr>
                <w:b/>
                <w:b/>
                <w:bCs/>
                <w:color w:val="000000"/>
                <w:sz w:val="22"/>
              </w:rPr>
            </w:pPr>
            <w:r>
              <w:rPr>
                <w:b/>
                <w:bCs/>
                <w:color w:val="000000"/>
                <w:sz w:val="22"/>
                <w:szCs w:val="22"/>
              </w:rPr>
              <w:t>2011</w:t>
            </w:r>
          </w:p>
        </w:tc>
        <w:tc>
          <w:tcPr>
            <w:tcW w:w="859" w:type="dxa"/>
            <w:tcBorders>
              <w:top w:val="single" w:sz="4" w:space="0" w:color="00000A"/>
              <w:bottom w:val="single" w:sz="4" w:space="0" w:color="00000A"/>
              <w:insideH w:val="single" w:sz="4" w:space="0" w:color="00000A"/>
            </w:tcBorders>
            <w:shd w:color="auto" w:fill="DBE5F1" w:val="clear"/>
            <w:vAlign w:val="center"/>
          </w:tcPr>
          <w:p>
            <w:pPr>
              <w:pStyle w:val="Normal"/>
              <w:spacing w:lineRule="auto" w:line="360"/>
              <w:rPr>
                <w:b/>
                <w:b/>
                <w:bCs/>
                <w:color w:val="000000"/>
                <w:sz w:val="22"/>
              </w:rPr>
            </w:pPr>
            <w:r>
              <w:rPr>
                <w:b/>
                <w:bCs/>
                <w:color w:val="000000"/>
                <w:sz w:val="22"/>
              </w:rPr>
            </w:r>
          </w:p>
          <w:p>
            <w:pPr>
              <w:pStyle w:val="Normal"/>
              <w:spacing w:lineRule="auto" w:line="360"/>
              <w:rPr>
                <w:b/>
                <w:b/>
                <w:bCs/>
                <w:color w:val="000000"/>
                <w:sz w:val="22"/>
              </w:rPr>
            </w:pPr>
            <w:r>
              <w:rPr>
                <w:b/>
                <w:bCs/>
                <w:color w:val="000000"/>
                <w:sz w:val="22"/>
                <w:szCs w:val="22"/>
              </w:rPr>
              <w:t>2012</w:t>
            </w:r>
          </w:p>
        </w:tc>
        <w:tc>
          <w:tcPr>
            <w:tcW w:w="955" w:type="dxa"/>
            <w:tcBorders>
              <w:top w:val="single" w:sz="4" w:space="0" w:color="00000A"/>
              <w:bottom w:val="single" w:sz="4" w:space="0" w:color="00000A"/>
              <w:insideH w:val="single" w:sz="4" w:space="0" w:color="00000A"/>
            </w:tcBorders>
            <w:shd w:color="auto" w:fill="DBE5F1" w:val="clear"/>
            <w:vAlign w:val="center"/>
          </w:tcPr>
          <w:p>
            <w:pPr>
              <w:pStyle w:val="Normal"/>
              <w:spacing w:lineRule="auto" w:line="360"/>
              <w:rPr>
                <w:b/>
                <w:b/>
                <w:bCs/>
                <w:color w:val="000000"/>
                <w:sz w:val="22"/>
              </w:rPr>
            </w:pPr>
            <w:r>
              <w:rPr>
                <w:b/>
                <w:bCs/>
                <w:color w:val="000000"/>
                <w:sz w:val="22"/>
              </w:rPr>
            </w:r>
          </w:p>
          <w:p>
            <w:pPr>
              <w:pStyle w:val="Normal"/>
              <w:spacing w:lineRule="auto" w:line="360"/>
              <w:rPr>
                <w:b/>
                <w:b/>
                <w:bCs/>
                <w:color w:val="000000"/>
                <w:sz w:val="22"/>
              </w:rPr>
            </w:pPr>
            <w:r>
              <w:rPr>
                <w:b/>
                <w:bCs/>
                <w:color w:val="000000"/>
                <w:sz w:val="22"/>
                <w:szCs w:val="22"/>
              </w:rPr>
              <w:t>2013</w:t>
            </w:r>
          </w:p>
        </w:tc>
        <w:tc>
          <w:tcPr>
            <w:tcW w:w="859" w:type="dxa"/>
            <w:tcBorders>
              <w:top w:val="single" w:sz="4" w:space="0" w:color="00000A"/>
              <w:bottom w:val="single" w:sz="4" w:space="0" w:color="00000A"/>
              <w:insideH w:val="single" w:sz="4" w:space="0" w:color="00000A"/>
            </w:tcBorders>
            <w:shd w:color="auto" w:fill="DBE5F1" w:val="clear"/>
            <w:vAlign w:val="center"/>
          </w:tcPr>
          <w:p>
            <w:pPr>
              <w:pStyle w:val="Normal"/>
              <w:spacing w:lineRule="auto" w:line="360"/>
              <w:rPr>
                <w:b/>
                <w:b/>
                <w:bCs/>
                <w:color w:val="000000"/>
                <w:sz w:val="22"/>
              </w:rPr>
            </w:pPr>
            <w:r>
              <w:rPr>
                <w:b/>
                <w:bCs/>
                <w:color w:val="000000"/>
                <w:sz w:val="22"/>
              </w:rPr>
            </w:r>
          </w:p>
          <w:p>
            <w:pPr>
              <w:pStyle w:val="Normal"/>
              <w:spacing w:lineRule="auto" w:line="360"/>
              <w:rPr>
                <w:b/>
                <w:b/>
                <w:bCs/>
                <w:color w:val="000000"/>
                <w:sz w:val="22"/>
              </w:rPr>
            </w:pPr>
            <w:r>
              <w:rPr>
                <w:b/>
                <w:bCs/>
                <w:color w:val="000000"/>
                <w:sz w:val="22"/>
                <w:szCs w:val="22"/>
              </w:rPr>
              <w:t>2014</w:t>
            </w:r>
          </w:p>
        </w:tc>
        <w:tc>
          <w:tcPr>
            <w:tcW w:w="900" w:type="dxa"/>
            <w:tcBorders>
              <w:top w:val="single" w:sz="4" w:space="0" w:color="00000A"/>
              <w:bottom w:val="single" w:sz="4" w:space="0" w:color="00000A"/>
              <w:insideH w:val="single" w:sz="4" w:space="0" w:color="00000A"/>
            </w:tcBorders>
            <w:shd w:color="auto" w:fill="DBE5F1" w:val="clear"/>
            <w:vAlign w:val="center"/>
          </w:tcPr>
          <w:p>
            <w:pPr>
              <w:pStyle w:val="Normal"/>
              <w:spacing w:lineRule="auto" w:line="360"/>
              <w:rPr>
                <w:b/>
                <w:b/>
                <w:bCs/>
                <w:color w:val="000000"/>
                <w:sz w:val="22"/>
              </w:rPr>
            </w:pPr>
            <w:r>
              <w:rPr>
                <w:b/>
                <w:bCs/>
                <w:color w:val="000000"/>
                <w:sz w:val="22"/>
              </w:rPr>
            </w:r>
          </w:p>
          <w:p>
            <w:pPr>
              <w:pStyle w:val="Normal"/>
              <w:spacing w:lineRule="auto" w:line="360"/>
              <w:rPr>
                <w:b/>
                <w:b/>
                <w:bCs/>
                <w:color w:val="000000"/>
                <w:sz w:val="22"/>
              </w:rPr>
            </w:pPr>
            <w:r>
              <w:rPr>
                <w:b/>
                <w:bCs/>
                <w:color w:val="000000"/>
                <w:sz w:val="22"/>
                <w:szCs w:val="22"/>
              </w:rPr>
              <w:t>2015</w:t>
            </w:r>
          </w:p>
        </w:tc>
        <w:tc>
          <w:tcPr>
            <w:tcW w:w="913" w:type="dxa"/>
            <w:tcBorders>
              <w:top w:val="single" w:sz="4" w:space="0" w:color="00000A"/>
              <w:bottom w:val="single" w:sz="4" w:space="0" w:color="00000A"/>
              <w:insideH w:val="single" w:sz="4" w:space="0" w:color="00000A"/>
            </w:tcBorders>
            <w:shd w:color="auto" w:fill="DBE5F1" w:val="clear"/>
            <w:vAlign w:val="center"/>
          </w:tcPr>
          <w:p>
            <w:pPr>
              <w:pStyle w:val="Normal"/>
              <w:spacing w:lineRule="auto" w:line="360"/>
              <w:rPr>
                <w:b/>
                <w:b/>
                <w:bCs/>
                <w:color w:val="000000"/>
                <w:sz w:val="22"/>
              </w:rPr>
            </w:pPr>
            <w:r>
              <w:rPr>
                <w:b/>
                <w:bCs/>
                <w:color w:val="000000"/>
                <w:sz w:val="22"/>
              </w:rPr>
            </w:r>
          </w:p>
          <w:p>
            <w:pPr>
              <w:pStyle w:val="Normal"/>
              <w:spacing w:lineRule="auto" w:line="360"/>
              <w:rPr>
                <w:b/>
                <w:b/>
                <w:bCs/>
                <w:color w:val="000000"/>
                <w:sz w:val="22"/>
              </w:rPr>
            </w:pPr>
            <w:r>
              <w:rPr>
                <w:b/>
                <w:bCs/>
                <w:color w:val="000000"/>
                <w:sz w:val="22"/>
                <w:szCs w:val="22"/>
              </w:rPr>
              <w:t>2016</w:t>
            </w:r>
          </w:p>
        </w:tc>
      </w:tr>
      <w:tr>
        <w:trPr>
          <w:trHeight w:val="300" w:hRule="atLeast"/>
        </w:trPr>
        <w:tc>
          <w:tcPr>
            <w:tcW w:w="3177" w:type="dxa"/>
            <w:tcBorders>
              <w:top w:val="single" w:sz="4" w:space="0" w:color="00000A"/>
              <w:bottom w:val="single" w:sz="4" w:space="0" w:color="00000A"/>
              <w:insideH w:val="single" w:sz="4" w:space="0" w:color="00000A"/>
            </w:tcBorders>
            <w:shd w:color="auto" w:fill="D3DFEE" w:val="clear"/>
          </w:tcPr>
          <w:p>
            <w:pPr>
              <w:pStyle w:val="Normal"/>
              <w:spacing w:lineRule="auto" w:line="360"/>
              <w:rPr>
                <w:b/>
                <w:b/>
                <w:bCs/>
                <w:color w:val="000000"/>
                <w:sz w:val="22"/>
              </w:rPr>
            </w:pPr>
            <w:r>
              <w:rPr>
                <w:b/>
                <w:bCs/>
                <w:color w:val="000000"/>
                <w:sz w:val="22"/>
                <w:szCs w:val="22"/>
              </w:rPr>
              <w:t>Acidentes de Transportes</w:t>
            </w:r>
          </w:p>
        </w:tc>
        <w:tc>
          <w:tcPr>
            <w:tcW w:w="900" w:type="dxa"/>
            <w:tcBorders>
              <w:top w:val="single" w:sz="4" w:space="0" w:color="00000A"/>
              <w:bottom w:val="single" w:sz="4" w:space="0" w:color="00000A"/>
              <w:insideH w:val="single" w:sz="4" w:space="0" w:color="00000A"/>
            </w:tcBorders>
            <w:shd w:color="auto" w:fill="D3DFEE" w:val="clear"/>
            <w:vAlign w:val="center"/>
          </w:tcPr>
          <w:p>
            <w:pPr>
              <w:pStyle w:val="Normal"/>
              <w:spacing w:lineRule="auto" w:line="360"/>
              <w:rPr>
                <w:color w:val="000000"/>
                <w:sz w:val="22"/>
              </w:rPr>
            </w:pPr>
            <w:r>
              <w:rPr>
                <w:color w:val="000000"/>
                <w:sz w:val="22"/>
                <w:szCs w:val="22"/>
              </w:rPr>
              <w:t>48,67</w:t>
            </w:r>
          </w:p>
        </w:tc>
        <w:tc>
          <w:tcPr>
            <w:tcW w:w="859" w:type="dxa"/>
            <w:tcBorders>
              <w:top w:val="single" w:sz="4" w:space="0" w:color="00000A"/>
              <w:bottom w:val="single" w:sz="4" w:space="0" w:color="00000A"/>
              <w:insideH w:val="single" w:sz="4" w:space="0" w:color="00000A"/>
            </w:tcBorders>
            <w:shd w:color="auto" w:fill="D3DFEE" w:val="clear"/>
            <w:vAlign w:val="center"/>
          </w:tcPr>
          <w:p>
            <w:pPr>
              <w:pStyle w:val="Normal"/>
              <w:spacing w:lineRule="auto" w:line="360"/>
              <w:rPr>
                <w:color w:val="000000"/>
                <w:sz w:val="22"/>
              </w:rPr>
            </w:pPr>
            <w:r>
              <w:rPr>
                <w:color w:val="000000"/>
                <w:sz w:val="22"/>
                <w:szCs w:val="22"/>
              </w:rPr>
              <w:t>48,73</w:t>
            </w:r>
          </w:p>
        </w:tc>
        <w:tc>
          <w:tcPr>
            <w:tcW w:w="955" w:type="dxa"/>
            <w:tcBorders>
              <w:top w:val="single" w:sz="4" w:space="0" w:color="00000A"/>
              <w:bottom w:val="single" w:sz="4" w:space="0" w:color="00000A"/>
              <w:insideH w:val="single" w:sz="4" w:space="0" w:color="00000A"/>
            </w:tcBorders>
            <w:shd w:color="auto" w:fill="D3DFEE" w:val="clear"/>
            <w:vAlign w:val="center"/>
          </w:tcPr>
          <w:p>
            <w:pPr>
              <w:pStyle w:val="Normal"/>
              <w:spacing w:lineRule="auto" w:line="360"/>
              <w:rPr>
                <w:color w:val="000000"/>
                <w:sz w:val="22"/>
              </w:rPr>
            </w:pPr>
            <w:r>
              <w:rPr>
                <w:color w:val="000000"/>
                <w:sz w:val="22"/>
                <w:szCs w:val="22"/>
              </w:rPr>
              <w:t>46,09</w:t>
            </w:r>
          </w:p>
        </w:tc>
        <w:tc>
          <w:tcPr>
            <w:tcW w:w="859" w:type="dxa"/>
            <w:tcBorders>
              <w:top w:val="single" w:sz="4" w:space="0" w:color="00000A"/>
              <w:bottom w:val="single" w:sz="4" w:space="0" w:color="00000A"/>
              <w:insideH w:val="single" w:sz="4" w:space="0" w:color="00000A"/>
            </w:tcBorders>
            <w:shd w:color="auto" w:fill="D3DFEE" w:val="clear"/>
            <w:vAlign w:val="center"/>
          </w:tcPr>
          <w:p>
            <w:pPr>
              <w:pStyle w:val="Normal"/>
              <w:spacing w:lineRule="auto" w:line="360"/>
              <w:rPr>
                <w:color w:val="000000"/>
                <w:sz w:val="22"/>
              </w:rPr>
            </w:pPr>
            <w:r>
              <w:rPr>
                <w:color w:val="000000"/>
                <w:sz w:val="22"/>
                <w:szCs w:val="22"/>
              </w:rPr>
              <w:t>45,48</w:t>
            </w:r>
          </w:p>
        </w:tc>
        <w:tc>
          <w:tcPr>
            <w:tcW w:w="900" w:type="dxa"/>
            <w:tcBorders>
              <w:top w:val="single" w:sz="4" w:space="0" w:color="00000A"/>
              <w:bottom w:val="single" w:sz="4" w:space="0" w:color="00000A"/>
              <w:insideH w:val="single" w:sz="4" w:space="0" w:color="00000A"/>
            </w:tcBorders>
            <w:shd w:color="auto" w:fill="D3DFEE" w:val="clear"/>
            <w:vAlign w:val="center"/>
          </w:tcPr>
          <w:p>
            <w:pPr>
              <w:pStyle w:val="Normal"/>
              <w:spacing w:lineRule="auto" w:line="360"/>
              <w:rPr>
                <w:color w:val="000000"/>
                <w:sz w:val="22"/>
              </w:rPr>
            </w:pPr>
            <w:r>
              <w:rPr>
                <w:color w:val="000000"/>
                <w:sz w:val="22"/>
                <w:szCs w:val="22"/>
              </w:rPr>
              <w:t>40,36</w:t>
            </w:r>
          </w:p>
        </w:tc>
        <w:tc>
          <w:tcPr>
            <w:tcW w:w="913" w:type="dxa"/>
            <w:tcBorders>
              <w:top w:val="single" w:sz="4" w:space="0" w:color="00000A"/>
              <w:bottom w:val="single" w:sz="4" w:space="0" w:color="00000A"/>
              <w:insideH w:val="single" w:sz="4" w:space="0" w:color="00000A"/>
            </w:tcBorders>
            <w:shd w:color="auto" w:fill="D3DFEE" w:val="clear"/>
            <w:vAlign w:val="center"/>
          </w:tcPr>
          <w:p>
            <w:pPr>
              <w:pStyle w:val="Normal"/>
              <w:spacing w:lineRule="auto" w:line="360"/>
              <w:rPr>
                <w:color w:val="000000"/>
                <w:sz w:val="22"/>
              </w:rPr>
            </w:pPr>
            <w:r>
              <w:rPr>
                <w:color w:val="000000"/>
                <w:sz w:val="22"/>
                <w:szCs w:val="22"/>
              </w:rPr>
              <w:t>37,46</w:t>
            </w:r>
          </w:p>
        </w:tc>
      </w:tr>
      <w:tr>
        <w:trPr>
          <w:trHeight w:val="300" w:hRule="atLeast"/>
        </w:trPr>
        <w:tc>
          <w:tcPr>
            <w:tcW w:w="3177"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Outros Acidentes</w:t>
            </w:r>
          </w:p>
        </w:tc>
        <w:tc>
          <w:tcPr>
            <w:tcW w:w="900"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14,57</w:t>
            </w:r>
          </w:p>
        </w:tc>
        <w:tc>
          <w:tcPr>
            <w:tcW w:w="859"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14,67</w:t>
            </w:r>
          </w:p>
        </w:tc>
        <w:tc>
          <w:tcPr>
            <w:tcW w:w="955"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14,51</w:t>
            </w:r>
          </w:p>
        </w:tc>
        <w:tc>
          <w:tcPr>
            <w:tcW w:w="859"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15,22</w:t>
            </w:r>
          </w:p>
        </w:tc>
        <w:tc>
          <w:tcPr>
            <w:tcW w:w="900"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15,57</w:t>
            </w:r>
          </w:p>
        </w:tc>
        <w:tc>
          <w:tcPr>
            <w:tcW w:w="913"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16,55</w:t>
            </w:r>
          </w:p>
        </w:tc>
      </w:tr>
      <w:tr>
        <w:trPr>
          <w:trHeight w:val="300" w:hRule="atLeast"/>
        </w:trPr>
        <w:tc>
          <w:tcPr>
            <w:tcW w:w="3177" w:type="dxa"/>
            <w:tcBorders>
              <w:top w:val="single" w:sz="4" w:space="0" w:color="00000A"/>
              <w:bottom w:val="single" w:sz="4" w:space="0" w:color="00000A"/>
              <w:insideH w:val="single" w:sz="4" w:space="0" w:color="00000A"/>
            </w:tcBorders>
            <w:shd w:color="auto" w:fill="D3DFEE" w:val="clear"/>
          </w:tcPr>
          <w:p>
            <w:pPr>
              <w:pStyle w:val="Normal"/>
              <w:spacing w:lineRule="auto" w:line="360"/>
              <w:rPr>
                <w:b/>
                <w:b/>
                <w:bCs/>
                <w:color w:val="000000"/>
                <w:sz w:val="22"/>
              </w:rPr>
            </w:pPr>
            <w:r>
              <w:rPr>
                <w:b/>
                <w:bCs/>
                <w:color w:val="000000"/>
                <w:sz w:val="22"/>
                <w:szCs w:val="22"/>
              </w:rPr>
              <w:t>Acidentes Não especificados</w:t>
            </w:r>
          </w:p>
        </w:tc>
        <w:tc>
          <w:tcPr>
            <w:tcW w:w="900" w:type="dxa"/>
            <w:tcBorders>
              <w:top w:val="single" w:sz="4" w:space="0" w:color="00000A"/>
              <w:bottom w:val="single" w:sz="4" w:space="0" w:color="00000A"/>
              <w:insideH w:val="single" w:sz="4" w:space="0" w:color="00000A"/>
            </w:tcBorders>
            <w:shd w:color="auto" w:fill="D3DFEE" w:val="clear"/>
            <w:vAlign w:val="center"/>
          </w:tcPr>
          <w:p>
            <w:pPr>
              <w:pStyle w:val="Normal"/>
              <w:spacing w:lineRule="auto" w:line="360"/>
              <w:rPr>
                <w:color w:val="000000"/>
                <w:sz w:val="22"/>
              </w:rPr>
            </w:pPr>
            <w:r>
              <w:rPr>
                <w:color w:val="000000"/>
                <w:sz w:val="22"/>
                <w:szCs w:val="22"/>
              </w:rPr>
              <w:t>0,41</w:t>
            </w:r>
          </w:p>
        </w:tc>
        <w:tc>
          <w:tcPr>
            <w:tcW w:w="859" w:type="dxa"/>
            <w:tcBorders>
              <w:top w:val="single" w:sz="4" w:space="0" w:color="00000A"/>
              <w:bottom w:val="single" w:sz="4" w:space="0" w:color="00000A"/>
              <w:insideH w:val="single" w:sz="4" w:space="0" w:color="00000A"/>
            </w:tcBorders>
            <w:shd w:color="auto" w:fill="D3DFEE" w:val="clear"/>
            <w:vAlign w:val="center"/>
          </w:tcPr>
          <w:p>
            <w:pPr>
              <w:pStyle w:val="Normal"/>
              <w:spacing w:lineRule="auto" w:line="360"/>
              <w:rPr>
                <w:color w:val="000000"/>
                <w:sz w:val="22"/>
              </w:rPr>
            </w:pPr>
            <w:r>
              <w:rPr>
                <w:color w:val="000000"/>
                <w:sz w:val="22"/>
                <w:szCs w:val="22"/>
              </w:rPr>
              <w:t>0,36</w:t>
            </w:r>
          </w:p>
        </w:tc>
        <w:tc>
          <w:tcPr>
            <w:tcW w:w="955" w:type="dxa"/>
            <w:tcBorders>
              <w:top w:val="single" w:sz="4" w:space="0" w:color="00000A"/>
              <w:bottom w:val="single" w:sz="4" w:space="0" w:color="00000A"/>
              <w:insideH w:val="single" w:sz="4" w:space="0" w:color="00000A"/>
            </w:tcBorders>
            <w:shd w:color="auto" w:fill="D3DFEE" w:val="clear"/>
            <w:vAlign w:val="center"/>
          </w:tcPr>
          <w:p>
            <w:pPr>
              <w:pStyle w:val="Normal"/>
              <w:spacing w:lineRule="auto" w:line="360"/>
              <w:rPr>
                <w:color w:val="000000"/>
                <w:sz w:val="22"/>
              </w:rPr>
            </w:pPr>
            <w:r>
              <w:rPr>
                <w:color w:val="000000"/>
                <w:sz w:val="22"/>
                <w:szCs w:val="22"/>
              </w:rPr>
              <w:t>0,12</w:t>
            </w:r>
          </w:p>
        </w:tc>
        <w:tc>
          <w:tcPr>
            <w:tcW w:w="859" w:type="dxa"/>
            <w:tcBorders>
              <w:top w:val="single" w:sz="4" w:space="0" w:color="00000A"/>
              <w:bottom w:val="single" w:sz="4" w:space="0" w:color="00000A"/>
              <w:insideH w:val="single" w:sz="4" w:space="0" w:color="00000A"/>
            </w:tcBorders>
            <w:shd w:color="auto" w:fill="D3DFEE" w:val="clear"/>
            <w:vAlign w:val="center"/>
          </w:tcPr>
          <w:p>
            <w:pPr>
              <w:pStyle w:val="Normal"/>
              <w:spacing w:lineRule="auto" w:line="360"/>
              <w:rPr>
                <w:color w:val="000000"/>
                <w:sz w:val="22"/>
              </w:rPr>
            </w:pPr>
            <w:r>
              <w:rPr>
                <w:color w:val="000000"/>
                <w:sz w:val="22"/>
                <w:szCs w:val="22"/>
              </w:rPr>
              <w:t>0,19</w:t>
            </w:r>
          </w:p>
        </w:tc>
        <w:tc>
          <w:tcPr>
            <w:tcW w:w="900" w:type="dxa"/>
            <w:tcBorders>
              <w:top w:val="single" w:sz="4" w:space="0" w:color="00000A"/>
              <w:bottom w:val="single" w:sz="4" w:space="0" w:color="00000A"/>
              <w:insideH w:val="single" w:sz="4" w:space="0" w:color="00000A"/>
            </w:tcBorders>
            <w:shd w:color="auto" w:fill="D3DFEE" w:val="clear"/>
            <w:vAlign w:val="center"/>
          </w:tcPr>
          <w:p>
            <w:pPr>
              <w:pStyle w:val="Normal"/>
              <w:spacing w:lineRule="auto" w:line="360"/>
              <w:rPr>
                <w:color w:val="000000"/>
                <w:sz w:val="22"/>
              </w:rPr>
            </w:pPr>
            <w:r>
              <w:rPr>
                <w:color w:val="000000"/>
                <w:sz w:val="22"/>
                <w:szCs w:val="22"/>
              </w:rPr>
              <w:t>0,35</w:t>
            </w:r>
          </w:p>
        </w:tc>
        <w:tc>
          <w:tcPr>
            <w:tcW w:w="913" w:type="dxa"/>
            <w:tcBorders>
              <w:top w:val="single" w:sz="4" w:space="0" w:color="00000A"/>
              <w:bottom w:val="single" w:sz="4" w:space="0" w:color="00000A"/>
              <w:insideH w:val="single" w:sz="4" w:space="0" w:color="00000A"/>
            </w:tcBorders>
            <w:shd w:color="auto" w:fill="D3DFEE" w:val="clear"/>
            <w:vAlign w:val="center"/>
          </w:tcPr>
          <w:p>
            <w:pPr>
              <w:pStyle w:val="Normal"/>
              <w:spacing w:lineRule="auto" w:line="360"/>
              <w:rPr>
                <w:color w:val="000000"/>
                <w:sz w:val="22"/>
              </w:rPr>
            </w:pPr>
            <w:r>
              <w:rPr>
                <w:color w:val="000000"/>
                <w:sz w:val="22"/>
                <w:szCs w:val="22"/>
              </w:rPr>
              <w:t>0,16</w:t>
            </w:r>
          </w:p>
        </w:tc>
      </w:tr>
      <w:tr>
        <w:trPr>
          <w:trHeight w:val="300" w:hRule="atLeast"/>
        </w:trPr>
        <w:tc>
          <w:tcPr>
            <w:tcW w:w="3177"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Homicídio</w:t>
            </w:r>
          </w:p>
        </w:tc>
        <w:tc>
          <w:tcPr>
            <w:tcW w:w="900"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22,68</w:t>
            </w:r>
          </w:p>
        </w:tc>
        <w:tc>
          <w:tcPr>
            <w:tcW w:w="859"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22,4</w:t>
            </w:r>
          </w:p>
        </w:tc>
        <w:tc>
          <w:tcPr>
            <w:tcW w:w="955"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23,56</w:t>
            </w:r>
          </w:p>
        </w:tc>
        <w:tc>
          <w:tcPr>
            <w:tcW w:w="859"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23,27</w:t>
            </w:r>
          </w:p>
        </w:tc>
        <w:tc>
          <w:tcPr>
            <w:tcW w:w="900"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27,08</w:t>
            </w:r>
          </w:p>
        </w:tc>
        <w:tc>
          <w:tcPr>
            <w:tcW w:w="913"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27,22</w:t>
            </w:r>
          </w:p>
        </w:tc>
      </w:tr>
      <w:tr>
        <w:trPr>
          <w:trHeight w:val="300" w:hRule="atLeast"/>
        </w:trPr>
        <w:tc>
          <w:tcPr>
            <w:tcW w:w="3177" w:type="dxa"/>
            <w:tcBorders>
              <w:top w:val="single" w:sz="4" w:space="0" w:color="00000A"/>
              <w:bottom w:val="single" w:sz="4" w:space="0" w:color="00000A"/>
              <w:insideH w:val="single" w:sz="4" w:space="0" w:color="00000A"/>
            </w:tcBorders>
            <w:shd w:color="auto" w:fill="D3DFEE" w:val="clear"/>
          </w:tcPr>
          <w:p>
            <w:pPr>
              <w:pStyle w:val="Normal"/>
              <w:spacing w:lineRule="auto" w:line="360"/>
              <w:rPr>
                <w:b/>
                <w:b/>
                <w:bCs/>
                <w:color w:val="000000"/>
                <w:sz w:val="22"/>
              </w:rPr>
            </w:pPr>
            <w:r>
              <w:rPr>
                <w:b/>
                <w:bCs/>
                <w:color w:val="000000"/>
                <w:sz w:val="22"/>
                <w:szCs w:val="22"/>
              </w:rPr>
              <w:t>Suicídio</w:t>
            </w:r>
          </w:p>
        </w:tc>
        <w:tc>
          <w:tcPr>
            <w:tcW w:w="900" w:type="dxa"/>
            <w:tcBorders>
              <w:top w:val="single" w:sz="4" w:space="0" w:color="00000A"/>
              <w:bottom w:val="single" w:sz="4" w:space="0" w:color="00000A"/>
              <w:insideH w:val="single" w:sz="4" w:space="0" w:color="00000A"/>
            </w:tcBorders>
            <w:shd w:color="auto" w:fill="D3DFEE" w:val="clear"/>
            <w:vAlign w:val="center"/>
          </w:tcPr>
          <w:p>
            <w:pPr>
              <w:pStyle w:val="Normal"/>
              <w:spacing w:lineRule="auto" w:line="360"/>
              <w:rPr>
                <w:color w:val="000000"/>
                <w:sz w:val="22"/>
              </w:rPr>
            </w:pPr>
            <w:r>
              <w:rPr>
                <w:color w:val="000000"/>
                <w:sz w:val="22"/>
                <w:szCs w:val="22"/>
              </w:rPr>
              <w:t>11,05</w:t>
            </w:r>
          </w:p>
        </w:tc>
        <w:tc>
          <w:tcPr>
            <w:tcW w:w="859" w:type="dxa"/>
            <w:tcBorders>
              <w:top w:val="single" w:sz="4" w:space="0" w:color="00000A"/>
              <w:bottom w:val="single" w:sz="4" w:space="0" w:color="00000A"/>
              <w:insideH w:val="single" w:sz="4" w:space="0" w:color="00000A"/>
            </w:tcBorders>
            <w:shd w:color="auto" w:fill="D3DFEE" w:val="clear"/>
            <w:vAlign w:val="center"/>
          </w:tcPr>
          <w:p>
            <w:pPr>
              <w:pStyle w:val="Normal"/>
              <w:spacing w:lineRule="auto" w:line="360"/>
              <w:rPr>
                <w:color w:val="000000"/>
                <w:sz w:val="22"/>
              </w:rPr>
            </w:pPr>
            <w:r>
              <w:rPr>
                <w:color w:val="000000"/>
                <w:sz w:val="22"/>
                <w:szCs w:val="22"/>
              </w:rPr>
              <w:t>12,05</w:t>
            </w:r>
          </w:p>
        </w:tc>
        <w:tc>
          <w:tcPr>
            <w:tcW w:w="955" w:type="dxa"/>
            <w:tcBorders>
              <w:top w:val="single" w:sz="4" w:space="0" w:color="00000A"/>
              <w:bottom w:val="single" w:sz="4" w:space="0" w:color="00000A"/>
              <w:insideH w:val="single" w:sz="4" w:space="0" w:color="00000A"/>
            </w:tcBorders>
            <w:shd w:color="auto" w:fill="D3DFEE" w:val="clear"/>
            <w:vAlign w:val="center"/>
          </w:tcPr>
          <w:p>
            <w:pPr>
              <w:pStyle w:val="Normal"/>
              <w:spacing w:lineRule="auto" w:line="360"/>
              <w:rPr>
                <w:color w:val="000000"/>
                <w:sz w:val="22"/>
              </w:rPr>
            </w:pPr>
            <w:r>
              <w:rPr>
                <w:color w:val="000000"/>
                <w:sz w:val="22"/>
                <w:szCs w:val="22"/>
              </w:rPr>
              <w:t>13,35</w:t>
            </w:r>
          </w:p>
        </w:tc>
        <w:tc>
          <w:tcPr>
            <w:tcW w:w="859" w:type="dxa"/>
            <w:tcBorders>
              <w:top w:val="single" w:sz="4" w:space="0" w:color="00000A"/>
              <w:bottom w:val="single" w:sz="4" w:space="0" w:color="00000A"/>
              <w:insideH w:val="single" w:sz="4" w:space="0" w:color="00000A"/>
            </w:tcBorders>
            <w:shd w:color="auto" w:fill="D3DFEE" w:val="clear"/>
            <w:vAlign w:val="center"/>
          </w:tcPr>
          <w:p>
            <w:pPr>
              <w:pStyle w:val="Normal"/>
              <w:spacing w:lineRule="auto" w:line="360"/>
              <w:rPr>
                <w:color w:val="000000"/>
                <w:sz w:val="22"/>
              </w:rPr>
            </w:pPr>
            <w:r>
              <w:rPr>
                <w:color w:val="000000"/>
                <w:sz w:val="22"/>
                <w:szCs w:val="22"/>
              </w:rPr>
              <w:t>12,54</w:t>
            </w:r>
          </w:p>
        </w:tc>
        <w:tc>
          <w:tcPr>
            <w:tcW w:w="900" w:type="dxa"/>
            <w:tcBorders>
              <w:top w:val="single" w:sz="4" w:space="0" w:color="00000A"/>
              <w:bottom w:val="single" w:sz="4" w:space="0" w:color="00000A"/>
              <w:insideH w:val="single" w:sz="4" w:space="0" w:color="00000A"/>
            </w:tcBorders>
            <w:shd w:color="auto" w:fill="D3DFEE" w:val="clear"/>
            <w:vAlign w:val="center"/>
          </w:tcPr>
          <w:p>
            <w:pPr>
              <w:pStyle w:val="Normal"/>
              <w:spacing w:lineRule="auto" w:line="360"/>
              <w:rPr>
                <w:color w:val="000000"/>
                <w:sz w:val="22"/>
              </w:rPr>
            </w:pPr>
            <w:r>
              <w:rPr>
                <w:color w:val="000000"/>
                <w:sz w:val="22"/>
                <w:szCs w:val="22"/>
              </w:rPr>
              <w:t>14,58</w:t>
            </w:r>
          </w:p>
        </w:tc>
        <w:tc>
          <w:tcPr>
            <w:tcW w:w="913" w:type="dxa"/>
            <w:tcBorders>
              <w:top w:val="single" w:sz="4" w:space="0" w:color="00000A"/>
              <w:bottom w:val="single" w:sz="4" w:space="0" w:color="00000A"/>
              <w:insideH w:val="single" w:sz="4" w:space="0" w:color="00000A"/>
            </w:tcBorders>
            <w:shd w:color="auto" w:fill="D3DFEE" w:val="clear"/>
            <w:vAlign w:val="center"/>
          </w:tcPr>
          <w:p>
            <w:pPr>
              <w:pStyle w:val="Normal"/>
              <w:spacing w:lineRule="auto" w:line="360"/>
              <w:rPr>
                <w:color w:val="000000"/>
                <w:sz w:val="22"/>
              </w:rPr>
            </w:pPr>
            <w:r>
              <w:rPr>
                <w:color w:val="000000"/>
                <w:sz w:val="22"/>
                <w:szCs w:val="22"/>
              </w:rPr>
              <w:t>15,75</w:t>
            </w:r>
          </w:p>
        </w:tc>
      </w:tr>
      <w:tr>
        <w:trPr>
          <w:trHeight w:val="300" w:hRule="atLeast"/>
        </w:trPr>
        <w:tc>
          <w:tcPr>
            <w:tcW w:w="3177"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Eventos cuja intenção é indeterminada</w:t>
            </w:r>
          </w:p>
        </w:tc>
        <w:tc>
          <w:tcPr>
            <w:tcW w:w="900"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2,04</w:t>
            </w:r>
          </w:p>
        </w:tc>
        <w:tc>
          <w:tcPr>
            <w:tcW w:w="859"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1,11</w:t>
            </w:r>
          </w:p>
        </w:tc>
        <w:tc>
          <w:tcPr>
            <w:tcW w:w="955"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1,2</w:t>
            </w:r>
          </w:p>
        </w:tc>
        <w:tc>
          <w:tcPr>
            <w:tcW w:w="859"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1,53</w:t>
            </w:r>
          </w:p>
        </w:tc>
        <w:tc>
          <w:tcPr>
            <w:tcW w:w="900"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0,95</w:t>
            </w:r>
          </w:p>
        </w:tc>
        <w:tc>
          <w:tcPr>
            <w:tcW w:w="913"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1,63</w:t>
            </w:r>
          </w:p>
        </w:tc>
      </w:tr>
      <w:tr>
        <w:trPr>
          <w:trHeight w:val="300" w:hRule="atLeast"/>
        </w:trPr>
        <w:tc>
          <w:tcPr>
            <w:tcW w:w="3177" w:type="dxa"/>
            <w:tcBorders>
              <w:top w:val="single" w:sz="4" w:space="0" w:color="00000A"/>
              <w:bottom w:val="single" w:sz="4" w:space="0" w:color="00000A"/>
              <w:insideH w:val="single" w:sz="4" w:space="0" w:color="00000A"/>
            </w:tcBorders>
            <w:shd w:color="auto" w:fill="D3DFEE" w:val="clear"/>
          </w:tcPr>
          <w:p>
            <w:pPr>
              <w:pStyle w:val="Normal"/>
              <w:spacing w:lineRule="auto" w:line="360"/>
              <w:rPr>
                <w:b/>
                <w:b/>
                <w:bCs/>
                <w:color w:val="000000"/>
                <w:sz w:val="22"/>
              </w:rPr>
            </w:pPr>
            <w:r>
              <w:rPr>
                <w:b/>
                <w:bCs/>
                <w:color w:val="000000"/>
                <w:sz w:val="22"/>
                <w:szCs w:val="22"/>
              </w:rPr>
              <w:t>Demais causas externas</w:t>
            </w:r>
          </w:p>
        </w:tc>
        <w:tc>
          <w:tcPr>
            <w:tcW w:w="900" w:type="dxa"/>
            <w:tcBorders>
              <w:top w:val="single" w:sz="4" w:space="0" w:color="00000A"/>
              <w:bottom w:val="single" w:sz="4" w:space="0" w:color="00000A"/>
              <w:insideH w:val="single" w:sz="4" w:space="0" w:color="00000A"/>
            </w:tcBorders>
            <w:shd w:color="auto" w:fill="D3DFEE" w:val="clear"/>
            <w:vAlign w:val="center"/>
          </w:tcPr>
          <w:p>
            <w:pPr>
              <w:pStyle w:val="Normal"/>
              <w:spacing w:lineRule="auto" w:line="360"/>
              <w:rPr>
                <w:color w:val="000000"/>
                <w:sz w:val="22"/>
              </w:rPr>
            </w:pPr>
            <w:r>
              <w:rPr>
                <w:color w:val="000000"/>
                <w:sz w:val="22"/>
                <w:szCs w:val="22"/>
              </w:rPr>
              <w:t>0,59</w:t>
            </w:r>
          </w:p>
        </w:tc>
        <w:tc>
          <w:tcPr>
            <w:tcW w:w="859" w:type="dxa"/>
            <w:tcBorders>
              <w:top w:val="single" w:sz="4" w:space="0" w:color="00000A"/>
              <w:bottom w:val="single" w:sz="4" w:space="0" w:color="00000A"/>
              <w:insideH w:val="single" w:sz="4" w:space="0" w:color="00000A"/>
            </w:tcBorders>
            <w:shd w:color="auto" w:fill="D3DFEE" w:val="clear"/>
            <w:vAlign w:val="center"/>
          </w:tcPr>
          <w:p>
            <w:pPr>
              <w:pStyle w:val="Normal"/>
              <w:spacing w:lineRule="auto" w:line="360"/>
              <w:rPr>
                <w:color w:val="000000"/>
                <w:sz w:val="22"/>
              </w:rPr>
            </w:pPr>
            <w:r>
              <w:rPr>
                <w:color w:val="000000"/>
                <w:sz w:val="22"/>
                <w:szCs w:val="22"/>
              </w:rPr>
              <w:t>0,67</w:t>
            </w:r>
          </w:p>
        </w:tc>
        <w:tc>
          <w:tcPr>
            <w:tcW w:w="955" w:type="dxa"/>
            <w:tcBorders>
              <w:top w:val="single" w:sz="4" w:space="0" w:color="00000A"/>
              <w:bottom w:val="single" w:sz="4" w:space="0" w:color="00000A"/>
              <w:insideH w:val="single" w:sz="4" w:space="0" w:color="00000A"/>
            </w:tcBorders>
            <w:shd w:color="auto" w:fill="D3DFEE" w:val="clear"/>
            <w:vAlign w:val="center"/>
          </w:tcPr>
          <w:p>
            <w:pPr>
              <w:pStyle w:val="Normal"/>
              <w:spacing w:lineRule="auto" w:line="360"/>
              <w:rPr>
                <w:color w:val="000000"/>
                <w:sz w:val="22"/>
              </w:rPr>
            </w:pPr>
            <w:r>
              <w:rPr>
                <w:color w:val="000000"/>
                <w:sz w:val="22"/>
                <w:szCs w:val="22"/>
              </w:rPr>
              <w:t>1,16</w:t>
            </w:r>
          </w:p>
        </w:tc>
        <w:tc>
          <w:tcPr>
            <w:tcW w:w="859" w:type="dxa"/>
            <w:tcBorders>
              <w:top w:val="single" w:sz="4" w:space="0" w:color="00000A"/>
              <w:bottom w:val="single" w:sz="4" w:space="0" w:color="00000A"/>
              <w:insideH w:val="single" w:sz="4" w:space="0" w:color="00000A"/>
            </w:tcBorders>
            <w:shd w:color="auto" w:fill="D3DFEE" w:val="clear"/>
            <w:vAlign w:val="center"/>
          </w:tcPr>
          <w:p>
            <w:pPr>
              <w:pStyle w:val="Normal"/>
              <w:spacing w:lineRule="auto" w:line="360"/>
              <w:rPr>
                <w:color w:val="000000"/>
                <w:sz w:val="22"/>
              </w:rPr>
            </w:pPr>
            <w:r>
              <w:rPr>
                <w:color w:val="000000"/>
                <w:sz w:val="22"/>
                <w:szCs w:val="22"/>
              </w:rPr>
              <w:t>1,76</w:t>
            </w:r>
          </w:p>
        </w:tc>
        <w:tc>
          <w:tcPr>
            <w:tcW w:w="900" w:type="dxa"/>
            <w:tcBorders>
              <w:top w:val="single" w:sz="4" w:space="0" w:color="00000A"/>
              <w:bottom w:val="single" w:sz="4" w:space="0" w:color="00000A"/>
              <w:insideH w:val="single" w:sz="4" w:space="0" w:color="00000A"/>
            </w:tcBorders>
            <w:shd w:color="auto" w:fill="D3DFEE" w:val="clear"/>
            <w:vAlign w:val="center"/>
          </w:tcPr>
          <w:p>
            <w:pPr>
              <w:pStyle w:val="Normal"/>
              <w:spacing w:lineRule="auto" w:line="360"/>
              <w:rPr>
                <w:color w:val="000000"/>
                <w:sz w:val="22"/>
              </w:rPr>
            </w:pPr>
            <w:r>
              <w:rPr>
                <w:color w:val="000000"/>
                <w:sz w:val="22"/>
                <w:szCs w:val="22"/>
              </w:rPr>
              <w:t>1,1</w:t>
            </w:r>
          </w:p>
        </w:tc>
        <w:tc>
          <w:tcPr>
            <w:tcW w:w="913" w:type="dxa"/>
            <w:tcBorders>
              <w:top w:val="single" w:sz="4" w:space="0" w:color="00000A"/>
              <w:bottom w:val="single" w:sz="4" w:space="0" w:color="00000A"/>
              <w:insideH w:val="single" w:sz="4" w:space="0" w:color="00000A"/>
            </w:tcBorders>
            <w:shd w:color="auto" w:fill="D3DFEE" w:val="clear"/>
            <w:vAlign w:val="center"/>
          </w:tcPr>
          <w:p>
            <w:pPr>
              <w:pStyle w:val="Normal"/>
              <w:spacing w:lineRule="auto" w:line="360"/>
              <w:rPr>
                <w:color w:val="000000"/>
                <w:sz w:val="22"/>
              </w:rPr>
            </w:pPr>
            <w:r>
              <w:rPr>
                <w:color w:val="000000"/>
                <w:sz w:val="22"/>
                <w:szCs w:val="22"/>
              </w:rPr>
              <w:t>1,23</w:t>
            </w:r>
          </w:p>
        </w:tc>
      </w:tr>
    </w:tbl>
    <w:p>
      <w:pPr>
        <w:pStyle w:val="Normal"/>
        <w:spacing w:lineRule="auto" w:line="360" w:before="0" w:after="150"/>
        <w:rPr>
          <w:color w:val="000000"/>
          <w:sz w:val="20"/>
          <w:szCs w:val="20"/>
        </w:rPr>
      </w:pPr>
      <w:r>
        <w:rPr>
          <w:rFonts w:cs="Arial"/>
          <w:color w:val="000000"/>
          <w:sz w:val="20"/>
          <w:szCs w:val="20"/>
          <w:highlight w:val="white"/>
        </w:rPr>
        <w:t>Fonte:SIM</w:t>
      </w:r>
    </w:p>
    <w:p>
      <w:pPr>
        <w:pStyle w:val="Normal"/>
        <w:spacing w:lineRule="auto" w:line="360" w:before="0" w:after="150"/>
        <w:rPr>
          <w:rFonts w:cs="Arial"/>
          <w:highlight w:val="white"/>
        </w:rPr>
      </w:pPr>
      <w:r>
        <w:rPr>
          <w:rFonts w:cs="Arial"/>
          <w:highlight w:val="white"/>
        </w:rPr>
      </w:r>
    </w:p>
    <w:p>
      <w:pPr>
        <w:pStyle w:val="Normal"/>
        <w:spacing w:lineRule="auto" w:line="360" w:before="0" w:after="150"/>
        <w:rPr>
          <w:color w:val="000000"/>
        </w:rPr>
      </w:pPr>
      <w:r>
        <w:rPr>
          <w:rFonts w:cs="Arial"/>
          <w:color w:val="000000"/>
          <w:highlight w:val="white"/>
        </w:rPr>
        <w:t>Causas externas de morbidade e mortalidade concentram a primeira causa de óbito  em homens catarinenses com taxa entre 34.53 e 33.92, enquanto que a menor foi de doenças do aparelho digestivo, com taxas variando de 1.49 a 1.75, no período de 2011 a 2016 (Tabela 3).</w:t>
      </w:r>
    </w:p>
    <w:p>
      <w:pPr>
        <w:pStyle w:val="Normal"/>
        <w:spacing w:lineRule="auto" w:line="360" w:before="0" w:after="150"/>
        <w:rPr>
          <w:rFonts w:cs="Arial"/>
          <w:highlight w:val="white"/>
        </w:rPr>
      </w:pPr>
      <w:r>
        <w:rPr>
          <w:rFonts w:cs="Arial"/>
          <w:highlight w:val="white"/>
        </w:rPr>
      </w:r>
    </w:p>
    <w:p>
      <w:pPr>
        <w:pStyle w:val="Normal"/>
        <w:spacing w:lineRule="auto" w:line="360"/>
        <w:rPr>
          <w:color w:val="000000"/>
          <w:sz w:val="20"/>
          <w:szCs w:val="20"/>
        </w:rPr>
      </w:pPr>
      <w:r>
        <w:rPr>
          <w:color w:val="000000"/>
          <w:sz w:val="20"/>
          <w:szCs w:val="20"/>
        </w:rPr>
        <w:t xml:space="preserve">Tabela 3. Percentual de óbito nas dez primeiras causas capítulo do CID 10 na população masculina de 20 a 59 anos em SC, 2011 a 2016 </w:t>
      </w:r>
    </w:p>
    <w:tbl>
      <w:tblPr>
        <w:tblW w:w="9191" w:type="dxa"/>
        <w:jc w:val="left"/>
        <w:tblInd w:w="56" w:type="dxa"/>
        <w:tblBorders>
          <w:top w:val="single" w:sz="4" w:space="0" w:color="00000A"/>
          <w:bottom w:val="single" w:sz="4" w:space="0" w:color="00000A"/>
          <w:insideH w:val="single" w:sz="4" w:space="0" w:color="00000A"/>
        </w:tblBorders>
        <w:tblCellMar>
          <w:top w:w="0" w:type="dxa"/>
          <w:left w:w="108" w:type="dxa"/>
          <w:bottom w:w="0" w:type="dxa"/>
          <w:right w:w="108" w:type="dxa"/>
        </w:tblCellMar>
        <w:tblLook w:val="04a0"/>
      </w:tblPr>
      <w:tblGrid>
        <w:gridCol w:w="3736"/>
        <w:gridCol w:w="913"/>
        <w:gridCol w:w="968"/>
        <w:gridCol w:w="955"/>
        <w:gridCol w:w="858"/>
        <w:gridCol w:w="954"/>
        <w:gridCol w:w="806"/>
      </w:tblGrid>
      <w:tr>
        <w:trPr>
          <w:trHeight w:val="300" w:hRule="atLeast"/>
        </w:trPr>
        <w:tc>
          <w:tcPr>
            <w:tcW w:w="3736" w:type="dxa"/>
            <w:tcBorders>
              <w:top w:val="single" w:sz="4" w:space="0" w:color="00000A"/>
              <w:bottom w:val="single" w:sz="4" w:space="0" w:color="00000A"/>
              <w:insideH w:val="single" w:sz="4" w:space="0" w:color="00000A"/>
            </w:tcBorders>
            <w:shd w:color="auto" w:fill="C2D69B" w:val="clear"/>
            <w:vAlign w:val="center"/>
          </w:tcPr>
          <w:p>
            <w:pPr>
              <w:pStyle w:val="Normal"/>
              <w:spacing w:lineRule="auto" w:line="360"/>
              <w:rPr>
                <w:b/>
                <w:b/>
                <w:bCs/>
                <w:color w:val="000000"/>
                <w:sz w:val="22"/>
              </w:rPr>
            </w:pPr>
            <w:r>
              <w:rPr>
                <w:b/>
                <w:bCs/>
                <w:color w:val="000000"/>
                <w:sz w:val="22"/>
                <w:szCs w:val="22"/>
              </w:rPr>
              <w:t xml:space="preserve">Capítulo CID-10 </w:t>
            </w:r>
          </w:p>
        </w:tc>
        <w:tc>
          <w:tcPr>
            <w:tcW w:w="913" w:type="dxa"/>
            <w:tcBorders>
              <w:top w:val="single" w:sz="4" w:space="0" w:color="00000A"/>
              <w:bottom w:val="single" w:sz="4" w:space="0" w:color="00000A"/>
              <w:insideH w:val="single" w:sz="4" w:space="0" w:color="00000A"/>
            </w:tcBorders>
            <w:shd w:color="auto" w:fill="C2D69B" w:val="clear"/>
            <w:vAlign w:val="center"/>
          </w:tcPr>
          <w:p>
            <w:pPr>
              <w:pStyle w:val="Normal"/>
              <w:spacing w:lineRule="auto" w:line="360"/>
              <w:rPr>
                <w:b/>
                <w:b/>
                <w:bCs/>
                <w:color w:val="000000"/>
                <w:sz w:val="22"/>
              </w:rPr>
            </w:pPr>
            <w:r>
              <w:rPr>
                <w:b/>
                <w:bCs/>
                <w:color w:val="000000"/>
                <w:sz w:val="22"/>
                <w:szCs w:val="22"/>
              </w:rPr>
              <w:t>2011</w:t>
            </w:r>
          </w:p>
        </w:tc>
        <w:tc>
          <w:tcPr>
            <w:tcW w:w="968" w:type="dxa"/>
            <w:tcBorders>
              <w:top w:val="single" w:sz="4" w:space="0" w:color="00000A"/>
              <w:bottom w:val="single" w:sz="4" w:space="0" w:color="00000A"/>
              <w:insideH w:val="single" w:sz="4" w:space="0" w:color="00000A"/>
            </w:tcBorders>
            <w:shd w:color="auto" w:fill="C2D69B" w:val="clear"/>
            <w:vAlign w:val="center"/>
          </w:tcPr>
          <w:p>
            <w:pPr>
              <w:pStyle w:val="Normal"/>
              <w:spacing w:lineRule="auto" w:line="360"/>
              <w:rPr>
                <w:b/>
                <w:b/>
                <w:bCs/>
                <w:color w:val="000000"/>
                <w:sz w:val="22"/>
              </w:rPr>
            </w:pPr>
            <w:r>
              <w:rPr>
                <w:b/>
                <w:bCs/>
                <w:color w:val="000000"/>
                <w:sz w:val="22"/>
                <w:szCs w:val="22"/>
              </w:rPr>
              <w:t>2012</w:t>
            </w:r>
          </w:p>
        </w:tc>
        <w:tc>
          <w:tcPr>
            <w:tcW w:w="955" w:type="dxa"/>
            <w:tcBorders>
              <w:top w:val="single" w:sz="4" w:space="0" w:color="00000A"/>
              <w:bottom w:val="single" w:sz="4" w:space="0" w:color="00000A"/>
              <w:insideH w:val="single" w:sz="4" w:space="0" w:color="00000A"/>
            </w:tcBorders>
            <w:shd w:color="auto" w:fill="C2D69B" w:val="clear"/>
            <w:vAlign w:val="center"/>
          </w:tcPr>
          <w:p>
            <w:pPr>
              <w:pStyle w:val="Normal"/>
              <w:spacing w:lineRule="auto" w:line="360"/>
              <w:rPr>
                <w:b/>
                <w:b/>
                <w:bCs/>
                <w:color w:val="000000"/>
                <w:sz w:val="22"/>
              </w:rPr>
            </w:pPr>
            <w:r>
              <w:rPr>
                <w:b/>
                <w:bCs/>
                <w:color w:val="000000"/>
                <w:sz w:val="22"/>
                <w:szCs w:val="22"/>
              </w:rPr>
              <w:t>2013</w:t>
            </w:r>
          </w:p>
        </w:tc>
        <w:tc>
          <w:tcPr>
            <w:tcW w:w="858" w:type="dxa"/>
            <w:tcBorders>
              <w:top w:val="single" w:sz="4" w:space="0" w:color="00000A"/>
              <w:bottom w:val="single" w:sz="4" w:space="0" w:color="00000A"/>
              <w:insideH w:val="single" w:sz="4" w:space="0" w:color="00000A"/>
            </w:tcBorders>
            <w:shd w:color="auto" w:fill="C2D69B" w:val="clear"/>
            <w:vAlign w:val="center"/>
          </w:tcPr>
          <w:p>
            <w:pPr>
              <w:pStyle w:val="Normal"/>
              <w:spacing w:lineRule="auto" w:line="360"/>
              <w:rPr>
                <w:b/>
                <w:b/>
                <w:bCs/>
                <w:color w:val="000000"/>
                <w:sz w:val="22"/>
              </w:rPr>
            </w:pPr>
            <w:r>
              <w:rPr>
                <w:b/>
                <w:bCs/>
                <w:color w:val="000000"/>
                <w:sz w:val="22"/>
                <w:szCs w:val="22"/>
              </w:rPr>
              <w:t>2014</w:t>
            </w:r>
          </w:p>
        </w:tc>
        <w:tc>
          <w:tcPr>
            <w:tcW w:w="954" w:type="dxa"/>
            <w:tcBorders>
              <w:top w:val="single" w:sz="4" w:space="0" w:color="00000A"/>
              <w:bottom w:val="single" w:sz="4" w:space="0" w:color="00000A"/>
              <w:insideH w:val="single" w:sz="4" w:space="0" w:color="00000A"/>
            </w:tcBorders>
            <w:shd w:color="auto" w:fill="C2D69B" w:val="clear"/>
            <w:vAlign w:val="center"/>
          </w:tcPr>
          <w:p>
            <w:pPr>
              <w:pStyle w:val="Normal"/>
              <w:spacing w:lineRule="auto" w:line="360"/>
              <w:rPr>
                <w:b/>
                <w:b/>
                <w:bCs/>
                <w:color w:val="000000"/>
                <w:sz w:val="22"/>
              </w:rPr>
            </w:pPr>
            <w:r>
              <w:rPr>
                <w:b/>
                <w:bCs/>
                <w:color w:val="000000"/>
                <w:sz w:val="22"/>
                <w:szCs w:val="22"/>
              </w:rPr>
              <w:t>2015</w:t>
            </w:r>
          </w:p>
        </w:tc>
        <w:tc>
          <w:tcPr>
            <w:tcW w:w="806" w:type="dxa"/>
            <w:tcBorders>
              <w:top w:val="single" w:sz="4" w:space="0" w:color="00000A"/>
              <w:bottom w:val="single" w:sz="4" w:space="0" w:color="00000A"/>
              <w:insideH w:val="single" w:sz="4" w:space="0" w:color="00000A"/>
            </w:tcBorders>
            <w:shd w:color="auto" w:fill="C2D69B" w:val="clear"/>
            <w:vAlign w:val="center"/>
          </w:tcPr>
          <w:p>
            <w:pPr>
              <w:pStyle w:val="Normal"/>
              <w:spacing w:lineRule="auto" w:line="360"/>
              <w:rPr>
                <w:b/>
                <w:b/>
                <w:bCs/>
                <w:color w:val="000000"/>
                <w:sz w:val="22"/>
              </w:rPr>
            </w:pPr>
            <w:r>
              <w:rPr>
                <w:b/>
                <w:bCs/>
                <w:color w:val="000000"/>
                <w:sz w:val="22"/>
                <w:szCs w:val="22"/>
              </w:rPr>
              <w:t>2016</w:t>
            </w:r>
          </w:p>
        </w:tc>
      </w:tr>
      <w:tr>
        <w:trPr>
          <w:trHeight w:val="300" w:hRule="atLeast"/>
        </w:trPr>
        <w:tc>
          <w:tcPr>
            <w:tcW w:w="3736" w:type="dxa"/>
            <w:tcBorders>
              <w:top w:val="single" w:sz="4" w:space="0" w:color="00000A"/>
              <w:bottom w:val="single" w:sz="4" w:space="0" w:color="00000A"/>
              <w:insideH w:val="single" w:sz="4" w:space="0" w:color="00000A"/>
            </w:tcBorders>
            <w:shd w:color="auto" w:fill="E6EED5" w:val="clear"/>
          </w:tcPr>
          <w:p>
            <w:pPr>
              <w:pStyle w:val="Normal"/>
              <w:spacing w:lineRule="auto" w:line="360"/>
              <w:rPr>
                <w:b/>
                <w:b/>
                <w:bCs/>
                <w:color w:val="000000"/>
                <w:sz w:val="22"/>
              </w:rPr>
            </w:pPr>
            <w:r>
              <w:rPr>
                <w:b/>
                <w:bCs/>
                <w:color w:val="000000"/>
                <w:sz w:val="22"/>
                <w:szCs w:val="22"/>
              </w:rPr>
              <w:t>Cap I. Algumas doenças infecciosas e parasitárias.</w:t>
            </w:r>
          </w:p>
        </w:tc>
        <w:tc>
          <w:tcPr>
            <w:tcW w:w="913" w:type="dxa"/>
            <w:tcBorders>
              <w:top w:val="single" w:sz="4" w:space="0" w:color="00000A"/>
              <w:bottom w:val="single" w:sz="4" w:space="0" w:color="00000A"/>
              <w:insideH w:val="single" w:sz="4" w:space="0" w:color="00000A"/>
            </w:tcBorders>
            <w:shd w:color="auto" w:fill="E6EED5" w:val="clear"/>
            <w:vAlign w:val="center"/>
          </w:tcPr>
          <w:p>
            <w:pPr>
              <w:pStyle w:val="Normal"/>
              <w:spacing w:lineRule="auto" w:line="360"/>
              <w:rPr>
                <w:color w:val="000000"/>
                <w:sz w:val="22"/>
              </w:rPr>
            </w:pPr>
            <w:r>
              <w:rPr>
                <w:color w:val="000000"/>
                <w:sz w:val="22"/>
                <w:szCs w:val="22"/>
              </w:rPr>
              <w:t>7,07</w:t>
            </w:r>
          </w:p>
        </w:tc>
        <w:tc>
          <w:tcPr>
            <w:tcW w:w="968" w:type="dxa"/>
            <w:tcBorders>
              <w:top w:val="single" w:sz="4" w:space="0" w:color="00000A"/>
              <w:bottom w:val="single" w:sz="4" w:space="0" w:color="00000A"/>
              <w:insideH w:val="single" w:sz="4" w:space="0" w:color="00000A"/>
            </w:tcBorders>
            <w:shd w:color="auto" w:fill="E6EED5" w:val="clear"/>
            <w:vAlign w:val="center"/>
          </w:tcPr>
          <w:p>
            <w:pPr>
              <w:pStyle w:val="Normal"/>
              <w:spacing w:lineRule="auto" w:line="360"/>
              <w:rPr>
                <w:color w:val="000000"/>
                <w:sz w:val="22"/>
              </w:rPr>
            </w:pPr>
            <w:r>
              <w:rPr>
                <w:color w:val="000000"/>
                <w:sz w:val="22"/>
                <w:szCs w:val="22"/>
              </w:rPr>
              <w:t>6,25</w:t>
            </w:r>
          </w:p>
        </w:tc>
        <w:tc>
          <w:tcPr>
            <w:tcW w:w="955" w:type="dxa"/>
            <w:tcBorders>
              <w:top w:val="single" w:sz="4" w:space="0" w:color="00000A"/>
              <w:bottom w:val="single" w:sz="4" w:space="0" w:color="00000A"/>
              <w:insideH w:val="single" w:sz="4" w:space="0" w:color="00000A"/>
            </w:tcBorders>
            <w:shd w:color="auto" w:fill="E6EED5" w:val="clear"/>
            <w:vAlign w:val="center"/>
          </w:tcPr>
          <w:p>
            <w:pPr>
              <w:pStyle w:val="Normal"/>
              <w:spacing w:lineRule="auto" w:line="360"/>
              <w:rPr>
                <w:color w:val="000000"/>
                <w:sz w:val="22"/>
              </w:rPr>
            </w:pPr>
            <w:r>
              <w:rPr>
                <w:color w:val="000000"/>
                <w:sz w:val="22"/>
                <w:szCs w:val="22"/>
              </w:rPr>
              <w:t>6,95</w:t>
            </w:r>
          </w:p>
        </w:tc>
        <w:tc>
          <w:tcPr>
            <w:tcW w:w="858" w:type="dxa"/>
            <w:tcBorders>
              <w:top w:val="single" w:sz="4" w:space="0" w:color="00000A"/>
              <w:bottom w:val="single" w:sz="4" w:space="0" w:color="00000A"/>
              <w:insideH w:val="single" w:sz="4" w:space="0" w:color="00000A"/>
            </w:tcBorders>
            <w:shd w:color="auto" w:fill="E6EED5" w:val="clear"/>
            <w:vAlign w:val="center"/>
          </w:tcPr>
          <w:p>
            <w:pPr>
              <w:pStyle w:val="Normal"/>
              <w:spacing w:lineRule="auto" w:line="360"/>
              <w:rPr>
                <w:color w:val="000000"/>
                <w:sz w:val="22"/>
              </w:rPr>
            </w:pPr>
            <w:r>
              <w:rPr>
                <w:color w:val="000000"/>
                <w:sz w:val="22"/>
                <w:szCs w:val="22"/>
              </w:rPr>
              <w:t>6,45</w:t>
            </w:r>
          </w:p>
        </w:tc>
        <w:tc>
          <w:tcPr>
            <w:tcW w:w="954" w:type="dxa"/>
            <w:tcBorders>
              <w:top w:val="single" w:sz="4" w:space="0" w:color="00000A"/>
              <w:bottom w:val="single" w:sz="4" w:space="0" w:color="00000A"/>
              <w:insideH w:val="single" w:sz="4" w:space="0" w:color="00000A"/>
            </w:tcBorders>
            <w:shd w:color="auto" w:fill="E6EED5" w:val="clear"/>
            <w:vAlign w:val="center"/>
          </w:tcPr>
          <w:p>
            <w:pPr>
              <w:pStyle w:val="Normal"/>
              <w:spacing w:lineRule="auto" w:line="360"/>
              <w:rPr>
                <w:color w:val="000000"/>
                <w:sz w:val="22"/>
              </w:rPr>
            </w:pPr>
            <w:r>
              <w:rPr>
                <w:color w:val="000000"/>
                <w:sz w:val="22"/>
                <w:szCs w:val="22"/>
              </w:rPr>
              <w:t>6,88</w:t>
            </w:r>
          </w:p>
        </w:tc>
        <w:tc>
          <w:tcPr>
            <w:tcW w:w="806" w:type="dxa"/>
            <w:tcBorders>
              <w:top w:val="single" w:sz="4" w:space="0" w:color="00000A"/>
              <w:bottom w:val="single" w:sz="4" w:space="0" w:color="00000A"/>
              <w:insideH w:val="single" w:sz="4" w:space="0" w:color="00000A"/>
            </w:tcBorders>
            <w:shd w:color="auto" w:fill="E6EED5" w:val="clear"/>
            <w:vAlign w:val="center"/>
          </w:tcPr>
          <w:p>
            <w:pPr>
              <w:pStyle w:val="Normal"/>
              <w:spacing w:lineRule="auto" w:line="360"/>
              <w:rPr>
                <w:color w:val="000000"/>
                <w:sz w:val="22"/>
              </w:rPr>
            </w:pPr>
            <w:r>
              <w:rPr>
                <w:color w:val="000000"/>
                <w:sz w:val="22"/>
                <w:szCs w:val="22"/>
              </w:rPr>
              <w:t>6,14</w:t>
            </w:r>
          </w:p>
        </w:tc>
      </w:tr>
      <w:tr>
        <w:trPr>
          <w:trHeight w:val="300" w:hRule="atLeast"/>
        </w:trPr>
        <w:tc>
          <w:tcPr>
            <w:tcW w:w="3736"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II. Neoplasias [Tumores]</w:t>
            </w:r>
          </w:p>
        </w:tc>
        <w:tc>
          <w:tcPr>
            <w:tcW w:w="913"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17,48</w:t>
            </w:r>
          </w:p>
        </w:tc>
        <w:tc>
          <w:tcPr>
            <w:tcW w:w="968"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18,15</w:t>
            </w:r>
          </w:p>
        </w:tc>
        <w:tc>
          <w:tcPr>
            <w:tcW w:w="955"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17,49</w:t>
            </w:r>
          </w:p>
        </w:tc>
        <w:tc>
          <w:tcPr>
            <w:tcW w:w="858"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17,7</w:t>
            </w:r>
          </w:p>
        </w:tc>
        <w:tc>
          <w:tcPr>
            <w:tcW w:w="954"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18,34</w:t>
            </w:r>
          </w:p>
        </w:tc>
        <w:tc>
          <w:tcPr>
            <w:tcW w:w="806"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17,84</w:t>
            </w:r>
          </w:p>
        </w:tc>
      </w:tr>
      <w:tr>
        <w:trPr>
          <w:trHeight w:val="300" w:hRule="atLeast"/>
        </w:trPr>
        <w:tc>
          <w:tcPr>
            <w:tcW w:w="3736" w:type="dxa"/>
            <w:tcBorders>
              <w:top w:val="single" w:sz="4" w:space="0" w:color="00000A"/>
              <w:bottom w:val="single" w:sz="4" w:space="0" w:color="00000A"/>
              <w:insideH w:val="single" w:sz="4" w:space="0" w:color="00000A"/>
            </w:tcBorders>
            <w:shd w:color="auto" w:fill="E6EED5" w:val="clear"/>
          </w:tcPr>
          <w:p>
            <w:pPr>
              <w:pStyle w:val="Normal"/>
              <w:spacing w:lineRule="auto" w:line="360"/>
              <w:rPr>
                <w:b/>
                <w:b/>
                <w:bCs/>
                <w:color w:val="000000"/>
                <w:sz w:val="22"/>
              </w:rPr>
            </w:pPr>
            <w:r>
              <w:rPr>
                <w:b/>
                <w:bCs/>
                <w:color w:val="000000"/>
                <w:sz w:val="22"/>
                <w:szCs w:val="22"/>
              </w:rPr>
              <w:t>Cap IV. Doenças endócrinas, nutricionais e metabólicas</w:t>
            </w:r>
          </w:p>
        </w:tc>
        <w:tc>
          <w:tcPr>
            <w:tcW w:w="913" w:type="dxa"/>
            <w:tcBorders>
              <w:top w:val="single" w:sz="4" w:space="0" w:color="00000A"/>
              <w:bottom w:val="single" w:sz="4" w:space="0" w:color="00000A"/>
              <w:insideH w:val="single" w:sz="4" w:space="0" w:color="00000A"/>
            </w:tcBorders>
            <w:shd w:color="auto" w:fill="E6EED5" w:val="clear"/>
            <w:vAlign w:val="center"/>
          </w:tcPr>
          <w:p>
            <w:pPr>
              <w:pStyle w:val="Normal"/>
              <w:spacing w:lineRule="auto" w:line="360"/>
              <w:rPr>
                <w:color w:val="000000"/>
                <w:sz w:val="22"/>
              </w:rPr>
            </w:pPr>
            <w:r>
              <w:rPr>
                <w:color w:val="000000"/>
                <w:sz w:val="22"/>
                <w:szCs w:val="22"/>
              </w:rPr>
              <w:t>2,48</w:t>
            </w:r>
          </w:p>
        </w:tc>
        <w:tc>
          <w:tcPr>
            <w:tcW w:w="968" w:type="dxa"/>
            <w:tcBorders>
              <w:top w:val="single" w:sz="4" w:space="0" w:color="00000A"/>
              <w:bottom w:val="single" w:sz="4" w:space="0" w:color="00000A"/>
              <w:insideH w:val="single" w:sz="4" w:space="0" w:color="00000A"/>
            </w:tcBorders>
            <w:shd w:color="auto" w:fill="E6EED5" w:val="clear"/>
            <w:vAlign w:val="center"/>
          </w:tcPr>
          <w:p>
            <w:pPr>
              <w:pStyle w:val="Normal"/>
              <w:spacing w:lineRule="auto" w:line="360"/>
              <w:rPr>
                <w:color w:val="000000"/>
                <w:sz w:val="22"/>
              </w:rPr>
            </w:pPr>
            <w:r>
              <w:rPr>
                <w:color w:val="000000"/>
                <w:sz w:val="22"/>
                <w:szCs w:val="22"/>
              </w:rPr>
              <w:t>2,35</w:t>
            </w:r>
          </w:p>
        </w:tc>
        <w:tc>
          <w:tcPr>
            <w:tcW w:w="955" w:type="dxa"/>
            <w:tcBorders>
              <w:top w:val="single" w:sz="4" w:space="0" w:color="00000A"/>
              <w:bottom w:val="single" w:sz="4" w:space="0" w:color="00000A"/>
              <w:insideH w:val="single" w:sz="4" w:space="0" w:color="00000A"/>
            </w:tcBorders>
            <w:shd w:color="auto" w:fill="E6EED5" w:val="clear"/>
            <w:vAlign w:val="center"/>
          </w:tcPr>
          <w:p>
            <w:pPr>
              <w:pStyle w:val="Normal"/>
              <w:spacing w:lineRule="auto" w:line="360"/>
              <w:rPr>
                <w:color w:val="000000"/>
                <w:sz w:val="22"/>
              </w:rPr>
            </w:pPr>
            <w:r>
              <w:rPr>
                <w:color w:val="000000"/>
                <w:sz w:val="22"/>
                <w:szCs w:val="22"/>
              </w:rPr>
              <w:t>2,69</w:t>
            </w:r>
          </w:p>
        </w:tc>
        <w:tc>
          <w:tcPr>
            <w:tcW w:w="858" w:type="dxa"/>
            <w:tcBorders>
              <w:top w:val="single" w:sz="4" w:space="0" w:color="00000A"/>
              <w:bottom w:val="single" w:sz="4" w:space="0" w:color="00000A"/>
              <w:insideH w:val="single" w:sz="4" w:space="0" w:color="00000A"/>
            </w:tcBorders>
            <w:shd w:color="auto" w:fill="E6EED5" w:val="clear"/>
            <w:vAlign w:val="center"/>
          </w:tcPr>
          <w:p>
            <w:pPr>
              <w:pStyle w:val="Normal"/>
              <w:spacing w:lineRule="auto" w:line="360"/>
              <w:rPr>
                <w:color w:val="000000"/>
                <w:sz w:val="22"/>
              </w:rPr>
            </w:pPr>
            <w:r>
              <w:rPr>
                <w:color w:val="000000"/>
                <w:sz w:val="22"/>
                <w:szCs w:val="22"/>
              </w:rPr>
              <w:t>3,12</w:t>
            </w:r>
          </w:p>
        </w:tc>
        <w:tc>
          <w:tcPr>
            <w:tcW w:w="954" w:type="dxa"/>
            <w:tcBorders>
              <w:top w:val="single" w:sz="4" w:space="0" w:color="00000A"/>
              <w:bottom w:val="single" w:sz="4" w:space="0" w:color="00000A"/>
              <w:insideH w:val="single" w:sz="4" w:space="0" w:color="00000A"/>
            </w:tcBorders>
            <w:shd w:color="auto" w:fill="E6EED5" w:val="clear"/>
            <w:vAlign w:val="center"/>
          </w:tcPr>
          <w:p>
            <w:pPr>
              <w:pStyle w:val="Normal"/>
              <w:spacing w:lineRule="auto" w:line="360"/>
              <w:rPr>
                <w:color w:val="000000"/>
                <w:sz w:val="22"/>
              </w:rPr>
            </w:pPr>
            <w:r>
              <w:rPr>
                <w:color w:val="000000"/>
                <w:sz w:val="22"/>
                <w:szCs w:val="22"/>
              </w:rPr>
              <w:t>3,13</w:t>
            </w:r>
          </w:p>
        </w:tc>
        <w:tc>
          <w:tcPr>
            <w:tcW w:w="806" w:type="dxa"/>
            <w:tcBorders>
              <w:top w:val="single" w:sz="4" w:space="0" w:color="00000A"/>
              <w:bottom w:val="single" w:sz="4" w:space="0" w:color="00000A"/>
              <w:insideH w:val="single" w:sz="4" w:space="0" w:color="00000A"/>
            </w:tcBorders>
            <w:shd w:color="auto" w:fill="E6EED5" w:val="clear"/>
            <w:vAlign w:val="center"/>
          </w:tcPr>
          <w:p>
            <w:pPr>
              <w:pStyle w:val="Normal"/>
              <w:spacing w:lineRule="auto" w:line="360"/>
              <w:rPr>
                <w:color w:val="000000"/>
                <w:sz w:val="22"/>
              </w:rPr>
            </w:pPr>
            <w:r>
              <w:rPr>
                <w:color w:val="000000"/>
                <w:sz w:val="22"/>
                <w:szCs w:val="22"/>
              </w:rPr>
              <w:t>3,14</w:t>
            </w:r>
          </w:p>
        </w:tc>
      </w:tr>
      <w:tr>
        <w:trPr>
          <w:trHeight w:val="300" w:hRule="atLeast"/>
        </w:trPr>
        <w:tc>
          <w:tcPr>
            <w:tcW w:w="3736"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V. Transtornos mentais e comportamentais</w:t>
            </w:r>
          </w:p>
        </w:tc>
        <w:tc>
          <w:tcPr>
            <w:tcW w:w="913"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2,48</w:t>
            </w:r>
          </w:p>
        </w:tc>
        <w:tc>
          <w:tcPr>
            <w:tcW w:w="968"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2,19</w:t>
            </w:r>
          </w:p>
        </w:tc>
        <w:tc>
          <w:tcPr>
            <w:tcW w:w="955"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2,39</w:t>
            </w:r>
          </w:p>
        </w:tc>
        <w:tc>
          <w:tcPr>
            <w:tcW w:w="858"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2,56</w:t>
            </w:r>
          </w:p>
        </w:tc>
        <w:tc>
          <w:tcPr>
            <w:tcW w:w="954"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2,18</w:t>
            </w:r>
          </w:p>
        </w:tc>
        <w:tc>
          <w:tcPr>
            <w:tcW w:w="806"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2,3</w:t>
            </w:r>
          </w:p>
        </w:tc>
      </w:tr>
      <w:tr>
        <w:trPr>
          <w:trHeight w:val="300" w:hRule="atLeast"/>
        </w:trPr>
        <w:tc>
          <w:tcPr>
            <w:tcW w:w="3736" w:type="dxa"/>
            <w:tcBorders>
              <w:top w:val="single" w:sz="4" w:space="0" w:color="00000A"/>
              <w:bottom w:val="single" w:sz="4" w:space="0" w:color="00000A"/>
              <w:insideH w:val="single" w:sz="4" w:space="0" w:color="00000A"/>
            </w:tcBorders>
            <w:shd w:color="auto" w:fill="E6EED5" w:val="clear"/>
          </w:tcPr>
          <w:p>
            <w:pPr>
              <w:pStyle w:val="Normal"/>
              <w:spacing w:lineRule="auto" w:line="360"/>
              <w:rPr>
                <w:b/>
                <w:b/>
                <w:bCs/>
                <w:color w:val="000000"/>
                <w:sz w:val="22"/>
              </w:rPr>
            </w:pPr>
            <w:r>
              <w:rPr>
                <w:b/>
                <w:bCs/>
                <w:color w:val="000000"/>
                <w:sz w:val="22"/>
                <w:szCs w:val="22"/>
              </w:rPr>
              <w:t>Cap VI. Doenças do sistema nervoso</w:t>
            </w:r>
          </w:p>
        </w:tc>
        <w:tc>
          <w:tcPr>
            <w:tcW w:w="913" w:type="dxa"/>
            <w:tcBorders>
              <w:top w:val="single" w:sz="4" w:space="0" w:color="00000A"/>
              <w:bottom w:val="single" w:sz="4" w:space="0" w:color="00000A"/>
              <w:insideH w:val="single" w:sz="4" w:space="0" w:color="00000A"/>
            </w:tcBorders>
            <w:shd w:color="auto" w:fill="E6EED5" w:val="clear"/>
            <w:vAlign w:val="center"/>
          </w:tcPr>
          <w:p>
            <w:pPr>
              <w:pStyle w:val="Normal"/>
              <w:spacing w:lineRule="auto" w:line="360"/>
              <w:rPr>
                <w:color w:val="000000"/>
                <w:sz w:val="22"/>
              </w:rPr>
            </w:pPr>
            <w:r>
              <w:rPr>
                <w:color w:val="000000"/>
                <w:sz w:val="22"/>
                <w:szCs w:val="22"/>
              </w:rPr>
              <w:t>1,49</w:t>
            </w:r>
          </w:p>
        </w:tc>
        <w:tc>
          <w:tcPr>
            <w:tcW w:w="968" w:type="dxa"/>
            <w:tcBorders>
              <w:top w:val="single" w:sz="4" w:space="0" w:color="00000A"/>
              <w:bottom w:val="single" w:sz="4" w:space="0" w:color="00000A"/>
              <w:insideH w:val="single" w:sz="4" w:space="0" w:color="00000A"/>
            </w:tcBorders>
            <w:shd w:color="auto" w:fill="E6EED5" w:val="clear"/>
            <w:vAlign w:val="center"/>
          </w:tcPr>
          <w:p>
            <w:pPr>
              <w:pStyle w:val="Normal"/>
              <w:spacing w:lineRule="auto" w:line="360"/>
              <w:rPr>
                <w:color w:val="000000"/>
                <w:sz w:val="22"/>
              </w:rPr>
            </w:pPr>
            <w:r>
              <w:rPr>
                <w:color w:val="000000"/>
                <w:sz w:val="22"/>
                <w:szCs w:val="22"/>
              </w:rPr>
              <w:t>1,56</w:t>
            </w:r>
          </w:p>
        </w:tc>
        <w:tc>
          <w:tcPr>
            <w:tcW w:w="955" w:type="dxa"/>
            <w:tcBorders>
              <w:top w:val="single" w:sz="4" w:space="0" w:color="00000A"/>
              <w:bottom w:val="single" w:sz="4" w:space="0" w:color="00000A"/>
              <w:insideH w:val="single" w:sz="4" w:space="0" w:color="00000A"/>
            </w:tcBorders>
            <w:shd w:color="auto" w:fill="E6EED5" w:val="clear"/>
            <w:vAlign w:val="center"/>
          </w:tcPr>
          <w:p>
            <w:pPr>
              <w:pStyle w:val="Normal"/>
              <w:spacing w:lineRule="auto" w:line="360"/>
              <w:rPr>
                <w:color w:val="000000"/>
                <w:sz w:val="22"/>
              </w:rPr>
            </w:pPr>
            <w:r>
              <w:rPr>
                <w:color w:val="000000"/>
                <w:sz w:val="22"/>
                <w:szCs w:val="22"/>
              </w:rPr>
              <w:t>1,52</w:t>
            </w:r>
          </w:p>
        </w:tc>
        <w:tc>
          <w:tcPr>
            <w:tcW w:w="858" w:type="dxa"/>
            <w:tcBorders>
              <w:top w:val="single" w:sz="4" w:space="0" w:color="00000A"/>
              <w:bottom w:val="single" w:sz="4" w:space="0" w:color="00000A"/>
              <w:insideH w:val="single" w:sz="4" w:space="0" w:color="00000A"/>
            </w:tcBorders>
            <w:shd w:color="auto" w:fill="E6EED5" w:val="clear"/>
            <w:vAlign w:val="center"/>
          </w:tcPr>
          <w:p>
            <w:pPr>
              <w:pStyle w:val="Normal"/>
              <w:spacing w:lineRule="auto" w:line="360"/>
              <w:rPr>
                <w:color w:val="000000"/>
                <w:sz w:val="22"/>
              </w:rPr>
            </w:pPr>
            <w:r>
              <w:rPr>
                <w:color w:val="000000"/>
                <w:sz w:val="22"/>
                <w:szCs w:val="22"/>
              </w:rPr>
              <w:t>1,58</w:t>
            </w:r>
          </w:p>
        </w:tc>
        <w:tc>
          <w:tcPr>
            <w:tcW w:w="954" w:type="dxa"/>
            <w:tcBorders>
              <w:top w:val="single" w:sz="4" w:space="0" w:color="00000A"/>
              <w:bottom w:val="single" w:sz="4" w:space="0" w:color="00000A"/>
              <w:insideH w:val="single" w:sz="4" w:space="0" w:color="00000A"/>
            </w:tcBorders>
            <w:shd w:color="auto" w:fill="E6EED5" w:val="clear"/>
            <w:vAlign w:val="center"/>
          </w:tcPr>
          <w:p>
            <w:pPr>
              <w:pStyle w:val="Normal"/>
              <w:spacing w:lineRule="auto" w:line="360"/>
              <w:rPr>
                <w:color w:val="000000"/>
                <w:sz w:val="22"/>
              </w:rPr>
            </w:pPr>
            <w:r>
              <w:rPr>
                <w:color w:val="000000"/>
                <w:sz w:val="22"/>
                <w:szCs w:val="22"/>
              </w:rPr>
              <w:t>1,5</w:t>
            </w:r>
          </w:p>
        </w:tc>
        <w:tc>
          <w:tcPr>
            <w:tcW w:w="806" w:type="dxa"/>
            <w:tcBorders>
              <w:top w:val="single" w:sz="4" w:space="0" w:color="00000A"/>
              <w:bottom w:val="single" w:sz="4" w:space="0" w:color="00000A"/>
              <w:insideH w:val="single" w:sz="4" w:space="0" w:color="00000A"/>
            </w:tcBorders>
            <w:shd w:color="auto" w:fill="E6EED5" w:val="clear"/>
            <w:vAlign w:val="center"/>
          </w:tcPr>
          <w:p>
            <w:pPr>
              <w:pStyle w:val="Normal"/>
              <w:spacing w:lineRule="auto" w:line="360"/>
              <w:rPr>
                <w:color w:val="000000"/>
                <w:sz w:val="22"/>
              </w:rPr>
            </w:pPr>
            <w:r>
              <w:rPr>
                <w:color w:val="000000"/>
                <w:sz w:val="22"/>
                <w:szCs w:val="22"/>
              </w:rPr>
              <w:t>1,75</w:t>
            </w:r>
          </w:p>
        </w:tc>
      </w:tr>
      <w:tr>
        <w:trPr>
          <w:trHeight w:val="300" w:hRule="atLeast"/>
        </w:trPr>
        <w:tc>
          <w:tcPr>
            <w:tcW w:w="3736"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IX. Doenças do aparelho circulatório</w:t>
            </w:r>
          </w:p>
        </w:tc>
        <w:tc>
          <w:tcPr>
            <w:tcW w:w="913"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18,2</w:t>
            </w:r>
          </w:p>
        </w:tc>
        <w:tc>
          <w:tcPr>
            <w:tcW w:w="968"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17,1</w:t>
            </w:r>
          </w:p>
        </w:tc>
        <w:tc>
          <w:tcPr>
            <w:tcW w:w="955"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18,45</w:t>
            </w:r>
          </w:p>
        </w:tc>
        <w:tc>
          <w:tcPr>
            <w:tcW w:w="858"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17,19</w:t>
            </w:r>
          </w:p>
        </w:tc>
        <w:tc>
          <w:tcPr>
            <w:tcW w:w="954"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16,64</w:t>
            </w:r>
          </w:p>
        </w:tc>
        <w:tc>
          <w:tcPr>
            <w:tcW w:w="806"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17,84</w:t>
            </w:r>
          </w:p>
        </w:tc>
      </w:tr>
      <w:tr>
        <w:trPr>
          <w:trHeight w:val="300" w:hRule="atLeast"/>
        </w:trPr>
        <w:tc>
          <w:tcPr>
            <w:tcW w:w="3736"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b/>
                <w:b/>
                <w:bCs/>
                <w:color w:val="000000"/>
                <w:sz w:val="22"/>
              </w:rPr>
            </w:pPr>
            <w:r>
              <w:rPr>
                <w:b/>
                <w:bCs/>
                <w:color w:val="000000"/>
                <w:sz w:val="22"/>
                <w:szCs w:val="22"/>
              </w:rPr>
              <w:t>Cap X. Doenças do aparelho respiratório</w:t>
            </w:r>
          </w:p>
        </w:tc>
        <w:tc>
          <w:tcPr>
            <w:tcW w:w="913" w:type="dxa"/>
            <w:tcBorders>
              <w:top w:val="single" w:sz="4" w:space="0" w:color="00000A"/>
              <w:bottom w:val="single" w:sz="4" w:space="0" w:color="00000A"/>
              <w:insideH w:val="single" w:sz="4" w:space="0" w:color="00000A"/>
            </w:tcBorders>
            <w:shd w:color="auto" w:fill="E6EED5" w:val="clear"/>
            <w:vAlign w:val="center"/>
          </w:tcPr>
          <w:p>
            <w:pPr>
              <w:pStyle w:val="Normal"/>
              <w:spacing w:lineRule="auto" w:line="360"/>
              <w:rPr>
                <w:color w:val="000000"/>
                <w:sz w:val="22"/>
              </w:rPr>
            </w:pPr>
            <w:r>
              <w:rPr>
                <w:color w:val="000000"/>
                <w:sz w:val="22"/>
                <w:szCs w:val="22"/>
              </w:rPr>
              <w:t>4,59</w:t>
            </w:r>
          </w:p>
        </w:tc>
        <w:tc>
          <w:tcPr>
            <w:tcW w:w="968" w:type="dxa"/>
            <w:tcBorders>
              <w:top w:val="single" w:sz="4" w:space="0" w:color="00000A"/>
              <w:bottom w:val="single" w:sz="4" w:space="0" w:color="00000A"/>
              <w:insideH w:val="single" w:sz="4" w:space="0" w:color="00000A"/>
            </w:tcBorders>
            <w:shd w:color="auto" w:fill="E6EED5" w:val="clear"/>
            <w:vAlign w:val="center"/>
          </w:tcPr>
          <w:p>
            <w:pPr>
              <w:pStyle w:val="Normal"/>
              <w:spacing w:lineRule="auto" w:line="360"/>
              <w:rPr>
                <w:color w:val="000000"/>
                <w:sz w:val="22"/>
              </w:rPr>
            </w:pPr>
            <w:r>
              <w:rPr>
                <w:color w:val="000000"/>
                <w:sz w:val="22"/>
                <w:szCs w:val="22"/>
              </w:rPr>
              <w:t>5,76</w:t>
            </w:r>
          </w:p>
        </w:tc>
        <w:tc>
          <w:tcPr>
            <w:tcW w:w="955" w:type="dxa"/>
            <w:tcBorders>
              <w:top w:val="single" w:sz="4" w:space="0" w:color="00000A"/>
              <w:bottom w:val="single" w:sz="4" w:space="0" w:color="00000A"/>
              <w:insideH w:val="single" w:sz="4" w:space="0" w:color="00000A"/>
            </w:tcBorders>
            <w:shd w:color="auto" w:fill="E6EED5" w:val="clear"/>
            <w:vAlign w:val="center"/>
          </w:tcPr>
          <w:p>
            <w:pPr>
              <w:pStyle w:val="Normal"/>
              <w:spacing w:lineRule="auto" w:line="360"/>
              <w:rPr>
                <w:color w:val="000000"/>
                <w:sz w:val="22"/>
              </w:rPr>
            </w:pPr>
            <w:r>
              <w:rPr>
                <w:color w:val="000000"/>
                <w:sz w:val="22"/>
                <w:szCs w:val="22"/>
              </w:rPr>
              <w:t>4,85</w:t>
            </w:r>
          </w:p>
        </w:tc>
        <w:tc>
          <w:tcPr>
            <w:tcW w:w="858" w:type="dxa"/>
            <w:tcBorders>
              <w:top w:val="single" w:sz="4" w:space="0" w:color="00000A"/>
              <w:bottom w:val="single" w:sz="4" w:space="0" w:color="00000A"/>
              <w:insideH w:val="single" w:sz="4" w:space="0" w:color="00000A"/>
            </w:tcBorders>
            <w:shd w:color="auto" w:fill="E6EED5" w:val="clear"/>
            <w:vAlign w:val="center"/>
          </w:tcPr>
          <w:p>
            <w:pPr>
              <w:pStyle w:val="Normal"/>
              <w:spacing w:lineRule="auto" w:line="360"/>
              <w:rPr>
                <w:color w:val="000000"/>
                <w:sz w:val="22"/>
              </w:rPr>
            </w:pPr>
            <w:r>
              <w:rPr>
                <w:color w:val="000000"/>
                <w:sz w:val="22"/>
                <w:szCs w:val="22"/>
              </w:rPr>
              <w:t>4,28</w:t>
            </w:r>
          </w:p>
        </w:tc>
        <w:tc>
          <w:tcPr>
            <w:tcW w:w="954" w:type="dxa"/>
            <w:tcBorders>
              <w:top w:val="single" w:sz="4" w:space="0" w:color="00000A"/>
              <w:bottom w:val="single" w:sz="4" w:space="0" w:color="00000A"/>
              <w:insideH w:val="single" w:sz="4" w:space="0" w:color="00000A"/>
            </w:tcBorders>
            <w:shd w:color="auto" w:fill="E6EED5" w:val="clear"/>
            <w:vAlign w:val="center"/>
          </w:tcPr>
          <w:p>
            <w:pPr>
              <w:pStyle w:val="Normal"/>
              <w:spacing w:lineRule="auto" w:line="360"/>
              <w:rPr>
                <w:color w:val="000000"/>
                <w:sz w:val="22"/>
              </w:rPr>
            </w:pPr>
            <w:r>
              <w:rPr>
                <w:color w:val="000000"/>
                <w:sz w:val="22"/>
                <w:szCs w:val="22"/>
              </w:rPr>
              <w:t>5,42</w:t>
            </w:r>
          </w:p>
        </w:tc>
        <w:tc>
          <w:tcPr>
            <w:tcW w:w="806" w:type="dxa"/>
            <w:tcBorders>
              <w:top w:val="single" w:sz="4" w:space="0" w:color="00000A"/>
              <w:bottom w:val="single" w:sz="4" w:space="0" w:color="00000A"/>
              <w:insideH w:val="single" w:sz="4" w:space="0" w:color="00000A"/>
            </w:tcBorders>
            <w:shd w:color="auto" w:fill="E6EED5" w:val="clear"/>
            <w:vAlign w:val="center"/>
          </w:tcPr>
          <w:p>
            <w:pPr>
              <w:pStyle w:val="Normal"/>
              <w:spacing w:lineRule="auto" w:line="360"/>
              <w:rPr>
                <w:color w:val="000000"/>
                <w:sz w:val="22"/>
              </w:rPr>
            </w:pPr>
            <w:r>
              <w:rPr>
                <w:color w:val="000000"/>
                <w:sz w:val="22"/>
                <w:szCs w:val="22"/>
              </w:rPr>
              <w:t>5,59</w:t>
            </w:r>
          </w:p>
        </w:tc>
      </w:tr>
      <w:tr>
        <w:trPr>
          <w:trHeight w:val="300" w:hRule="atLeast"/>
        </w:trPr>
        <w:tc>
          <w:tcPr>
            <w:tcW w:w="3736"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XI. Doenças do aparelho digestivo</w:t>
            </w:r>
          </w:p>
        </w:tc>
        <w:tc>
          <w:tcPr>
            <w:tcW w:w="913"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6,24</w:t>
            </w:r>
          </w:p>
        </w:tc>
        <w:tc>
          <w:tcPr>
            <w:tcW w:w="968"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6,5</w:t>
            </w:r>
          </w:p>
        </w:tc>
        <w:tc>
          <w:tcPr>
            <w:tcW w:w="955"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6,8</w:t>
            </w:r>
          </w:p>
        </w:tc>
        <w:tc>
          <w:tcPr>
            <w:tcW w:w="858"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6,41</w:t>
            </w:r>
          </w:p>
        </w:tc>
        <w:tc>
          <w:tcPr>
            <w:tcW w:w="954"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6,44</w:t>
            </w:r>
          </w:p>
        </w:tc>
        <w:tc>
          <w:tcPr>
            <w:tcW w:w="806"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5,49</w:t>
            </w:r>
          </w:p>
        </w:tc>
      </w:tr>
      <w:tr>
        <w:trPr>
          <w:trHeight w:val="300" w:hRule="atLeast"/>
        </w:trPr>
        <w:tc>
          <w:tcPr>
            <w:tcW w:w="3736"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VIII. Doenças do ouvido e da apófise mastóide</w:t>
            </w:r>
          </w:p>
        </w:tc>
        <w:tc>
          <w:tcPr>
            <w:tcW w:w="913"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3,73</w:t>
            </w:r>
          </w:p>
        </w:tc>
        <w:tc>
          <w:tcPr>
            <w:tcW w:w="968"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rFonts w:ascii="Arial" w:hAnsi="Arial"/>
                <w:color w:val="000000"/>
                <w:sz w:val="22"/>
              </w:rPr>
            </w:pPr>
            <w:r>
              <w:rPr>
                <w:color w:val="000000"/>
                <w:sz w:val="22"/>
                <w:szCs w:val="22"/>
              </w:rPr>
              <w:t>4,2</w:t>
            </w:r>
          </w:p>
        </w:tc>
        <w:tc>
          <w:tcPr>
            <w:tcW w:w="955"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3,74</w:t>
            </w:r>
          </w:p>
        </w:tc>
        <w:tc>
          <w:tcPr>
            <w:tcW w:w="858"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3,38</w:t>
            </w:r>
          </w:p>
        </w:tc>
        <w:tc>
          <w:tcPr>
            <w:tcW w:w="954"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2,98</w:t>
            </w:r>
          </w:p>
        </w:tc>
        <w:tc>
          <w:tcPr>
            <w:tcW w:w="806"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3,89</w:t>
            </w:r>
          </w:p>
        </w:tc>
      </w:tr>
      <w:tr>
        <w:trPr>
          <w:trHeight w:val="300" w:hRule="atLeast"/>
        </w:trPr>
        <w:tc>
          <w:tcPr>
            <w:tcW w:w="3736"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XX. Causas externas de morbidade e de mortalidade</w:t>
            </w:r>
          </w:p>
        </w:tc>
        <w:tc>
          <w:tcPr>
            <w:tcW w:w="913"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34,63</w:t>
            </w:r>
          </w:p>
        </w:tc>
        <w:tc>
          <w:tcPr>
            <w:tcW w:w="968"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34,28</w:t>
            </w:r>
          </w:p>
        </w:tc>
        <w:tc>
          <w:tcPr>
            <w:tcW w:w="955"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33,43</w:t>
            </w:r>
          </w:p>
        </w:tc>
        <w:tc>
          <w:tcPr>
            <w:tcW w:w="858"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35,11</w:t>
            </w:r>
          </w:p>
        </w:tc>
        <w:tc>
          <w:tcPr>
            <w:tcW w:w="954"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34,37</w:t>
            </w:r>
          </w:p>
        </w:tc>
        <w:tc>
          <w:tcPr>
            <w:tcW w:w="806"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color w:val="000000"/>
                <w:sz w:val="22"/>
              </w:rPr>
            </w:pPr>
            <w:r>
              <w:rPr>
                <w:color w:val="000000"/>
                <w:sz w:val="22"/>
                <w:szCs w:val="22"/>
              </w:rPr>
              <w:t>33,92</w:t>
            </w:r>
          </w:p>
        </w:tc>
      </w:tr>
    </w:tbl>
    <w:p>
      <w:pPr>
        <w:pStyle w:val="Normal"/>
        <w:spacing w:lineRule="auto" w:line="360" w:before="0" w:after="150"/>
        <w:rPr>
          <w:color w:val="000000"/>
          <w:sz w:val="14"/>
          <w:szCs w:val="14"/>
        </w:rPr>
      </w:pPr>
      <w:r>
        <w:rPr>
          <w:rFonts w:cs="Arial"/>
          <w:color w:val="000000"/>
          <w:sz w:val="14"/>
          <w:szCs w:val="14"/>
          <w:highlight w:val="white"/>
        </w:rPr>
        <w:t>Fonte SIM</w:t>
      </w:r>
    </w:p>
    <w:p>
      <w:pPr>
        <w:pStyle w:val="Normal"/>
        <w:spacing w:lineRule="auto" w:line="360" w:before="0" w:after="150"/>
        <w:rPr>
          <w:rFonts w:cs="Arial"/>
          <w:highlight w:val="white"/>
        </w:rPr>
      </w:pPr>
      <w:r>
        <w:rPr>
          <w:rFonts w:cs="Arial"/>
          <w:highlight w:val="white"/>
        </w:rPr>
      </w:r>
    </w:p>
    <w:p>
      <w:pPr>
        <w:pStyle w:val="Normal"/>
        <w:spacing w:lineRule="auto" w:line="360" w:before="0" w:after="150"/>
        <w:rPr>
          <w:color w:val="000000"/>
        </w:rPr>
      </w:pPr>
      <w:r>
        <w:rPr>
          <w:rFonts w:cs="Arial"/>
          <w:color w:val="000000"/>
          <w:highlight w:val="white"/>
        </w:rPr>
        <w:t>Em 2011, dentre as três primeiras taxas de maior prevalência para o percentual de anos potenciais de vidas perdidas por óbito estão concentradas nas Causas Externas de morbidade e mortalidade, permanecendo para o ano de 2016, seguido de 30.9 de malformações congênitas, deformidades e anomalias cromossômicas, 26.3 para doenças do sistema nervoso e 25.3  de algumas doenças infecciosas e parasitárias, de acordo com os dados apresentados na tabela(Tabela 4).</w:t>
      </w:r>
    </w:p>
    <w:p>
      <w:pPr>
        <w:pStyle w:val="Normal"/>
        <w:spacing w:lineRule="auto" w:line="360" w:before="0" w:after="150"/>
        <w:rPr>
          <w:rFonts w:cs="Arial"/>
          <w:highlight w:val="white"/>
        </w:rPr>
      </w:pPr>
      <w:r>
        <w:rPr>
          <w:rFonts w:cs="Arial"/>
          <w:highlight w:val="white"/>
        </w:rPr>
      </w:r>
    </w:p>
    <w:p>
      <w:pPr>
        <w:pStyle w:val="Normal"/>
        <w:spacing w:lineRule="auto" w:line="360" w:before="0" w:after="150"/>
        <w:rPr>
          <w:rFonts w:cs="Arial"/>
          <w:highlight w:val="white"/>
        </w:rPr>
      </w:pPr>
      <w:r>
        <w:rPr>
          <w:rFonts w:cs="Arial"/>
          <w:highlight w:val="white"/>
        </w:rPr>
      </w:r>
    </w:p>
    <w:p>
      <w:pPr>
        <w:pStyle w:val="Normal"/>
        <w:spacing w:lineRule="auto" w:line="360"/>
        <w:rPr>
          <w:color w:val="000000"/>
          <w:sz w:val="20"/>
          <w:szCs w:val="20"/>
        </w:rPr>
      </w:pPr>
      <w:r>
        <w:rPr>
          <w:color w:val="000000"/>
          <w:sz w:val="20"/>
          <w:szCs w:val="20"/>
        </w:rPr>
        <w:t xml:space="preserve">Tabela 4. Anos Potenciais de Vida perdidos  por óbito e causa / capítulo na população masculina de 20 a 59 anos em SC, 2011 a 2016 </w:t>
      </w:r>
    </w:p>
    <w:tbl>
      <w:tblPr>
        <w:tblW w:w="9191" w:type="dxa"/>
        <w:jc w:val="left"/>
        <w:tblInd w:w="0" w:type="dxa"/>
        <w:tblBorders>
          <w:top w:val="single" w:sz="4" w:space="0" w:color="00000A"/>
          <w:bottom w:val="single" w:sz="4" w:space="0" w:color="00000A"/>
          <w:insideH w:val="single" w:sz="4" w:space="0" w:color="00000A"/>
        </w:tblBorders>
        <w:tblCellMar>
          <w:top w:w="0" w:type="dxa"/>
          <w:left w:w="108" w:type="dxa"/>
          <w:bottom w:w="0" w:type="dxa"/>
          <w:right w:w="108" w:type="dxa"/>
        </w:tblCellMar>
        <w:tblLook w:val="04a0"/>
      </w:tblPr>
      <w:tblGrid>
        <w:gridCol w:w="4364"/>
        <w:gridCol w:w="845"/>
        <w:gridCol w:w="805"/>
        <w:gridCol w:w="845"/>
        <w:gridCol w:w="791"/>
        <w:gridCol w:w="791"/>
        <w:gridCol w:w="749"/>
      </w:tblGrid>
      <w:tr>
        <w:trPr>
          <w:trHeight w:val="303" w:hRule="atLeast"/>
        </w:trPr>
        <w:tc>
          <w:tcPr>
            <w:tcW w:w="4364" w:type="dxa"/>
            <w:tcBorders>
              <w:top w:val="single" w:sz="4" w:space="0" w:color="00000A"/>
              <w:bottom w:val="single" w:sz="4" w:space="0" w:color="00000A"/>
              <w:insideH w:val="single" w:sz="4" w:space="0" w:color="00000A"/>
            </w:tcBorders>
            <w:shd w:color="auto" w:fill="95B3D7" w:val="clear"/>
          </w:tcPr>
          <w:p>
            <w:pPr>
              <w:pStyle w:val="Normal"/>
              <w:spacing w:lineRule="auto" w:line="360"/>
              <w:rPr>
                <w:b/>
                <w:b/>
                <w:bCs/>
                <w:color w:val="000000"/>
                <w:sz w:val="22"/>
              </w:rPr>
            </w:pPr>
            <w:r>
              <w:rPr>
                <w:b/>
                <w:bCs/>
                <w:color w:val="000000"/>
                <w:sz w:val="22"/>
                <w:szCs w:val="22"/>
              </w:rPr>
              <w:t xml:space="preserve">Capítulo CID-10 </w:t>
            </w:r>
          </w:p>
        </w:tc>
        <w:tc>
          <w:tcPr>
            <w:tcW w:w="845" w:type="dxa"/>
            <w:tcBorders>
              <w:top w:val="single" w:sz="4" w:space="0" w:color="00000A"/>
              <w:bottom w:val="single" w:sz="4" w:space="0" w:color="00000A"/>
              <w:insideH w:val="single" w:sz="4" w:space="0" w:color="00000A"/>
            </w:tcBorders>
            <w:shd w:color="auto" w:fill="95B3D7" w:val="clear"/>
          </w:tcPr>
          <w:p>
            <w:pPr>
              <w:pStyle w:val="Normal"/>
              <w:spacing w:lineRule="auto" w:line="360"/>
              <w:rPr>
                <w:b/>
                <w:b/>
                <w:bCs/>
                <w:color w:val="000000"/>
                <w:sz w:val="22"/>
              </w:rPr>
            </w:pPr>
            <w:r>
              <w:rPr>
                <w:b/>
                <w:bCs/>
                <w:color w:val="000000"/>
                <w:sz w:val="22"/>
                <w:szCs w:val="22"/>
              </w:rPr>
              <w:t>2011</w:t>
            </w:r>
          </w:p>
        </w:tc>
        <w:tc>
          <w:tcPr>
            <w:tcW w:w="805" w:type="dxa"/>
            <w:tcBorders>
              <w:top w:val="single" w:sz="4" w:space="0" w:color="00000A"/>
              <w:bottom w:val="single" w:sz="4" w:space="0" w:color="00000A"/>
              <w:insideH w:val="single" w:sz="4" w:space="0" w:color="00000A"/>
            </w:tcBorders>
            <w:shd w:color="auto" w:fill="95B3D7" w:val="clear"/>
          </w:tcPr>
          <w:p>
            <w:pPr>
              <w:pStyle w:val="Normal"/>
              <w:spacing w:lineRule="auto" w:line="360"/>
              <w:rPr>
                <w:b/>
                <w:b/>
                <w:bCs/>
                <w:color w:val="000000"/>
                <w:sz w:val="22"/>
              </w:rPr>
            </w:pPr>
            <w:r>
              <w:rPr>
                <w:b/>
                <w:bCs/>
                <w:color w:val="000000"/>
                <w:sz w:val="22"/>
                <w:szCs w:val="22"/>
              </w:rPr>
              <w:t>2012</w:t>
            </w:r>
          </w:p>
        </w:tc>
        <w:tc>
          <w:tcPr>
            <w:tcW w:w="845" w:type="dxa"/>
            <w:tcBorders>
              <w:top w:val="single" w:sz="4" w:space="0" w:color="00000A"/>
              <w:bottom w:val="single" w:sz="4" w:space="0" w:color="00000A"/>
              <w:insideH w:val="single" w:sz="4" w:space="0" w:color="00000A"/>
            </w:tcBorders>
            <w:shd w:color="auto" w:fill="95B3D7" w:val="clear"/>
          </w:tcPr>
          <w:p>
            <w:pPr>
              <w:pStyle w:val="Normal"/>
              <w:spacing w:lineRule="auto" w:line="360"/>
              <w:rPr>
                <w:b/>
                <w:b/>
                <w:bCs/>
                <w:color w:val="000000"/>
                <w:sz w:val="22"/>
              </w:rPr>
            </w:pPr>
            <w:r>
              <w:rPr>
                <w:b/>
                <w:bCs/>
                <w:color w:val="000000"/>
                <w:sz w:val="22"/>
                <w:szCs w:val="22"/>
              </w:rPr>
              <w:t>2013</w:t>
            </w:r>
          </w:p>
        </w:tc>
        <w:tc>
          <w:tcPr>
            <w:tcW w:w="791" w:type="dxa"/>
            <w:tcBorders>
              <w:top w:val="single" w:sz="4" w:space="0" w:color="00000A"/>
              <w:bottom w:val="single" w:sz="4" w:space="0" w:color="00000A"/>
              <w:insideH w:val="single" w:sz="4" w:space="0" w:color="00000A"/>
            </w:tcBorders>
            <w:shd w:color="auto" w:fill="95B3D7" w:val="clear"/>
          </w:tcPr>
          <w:p>
            <w:pPr>
              <w:pStyle w:val="Normal"/>
              <w:spacing w:lineRule="auto" w:line="360"/>
              <w:rPr>
                <w:b/>
                <w:b/>
                <w:bCs/>
                <w:color w:val="000000"/>
                <w:sz w:val="22"/>
              </w:rPr>
            </w:pPr>
            <w:r>
              <w:rPr>
                <w:b/>
                <w:bCs/>
                <w:color w:val="000000"/>
                <w:sz w:val="22"/>
                <w:szCs w:val="22"/>
              </w:rPr>
              <w:t>2014</w:t>
            </w:r>
          </w:p>
        </w:tc>
        <w:tc>
          <w:tcPr>
            <w:tcW w:w="791" w:type="dxa"/>
            <w:tcBorders>
              <w:top w:val="single" w:sz="4" w:space="0" w:color="00000A"/>
              <w:bottom w:val="single" w:sz="4" w:space="0" w:color="00000A"/>
              <w:insideH w:val="single" w:sz="4" w:space="0" w:color="00000A"/>
            </w:tcBorders>
            <w:shd w:color="auto" w:fill="95B3D7" w:val="clear"/>
          </w:tcPr>
          <w:p>
            <w:pPr>
              <w:pStyle w:val="Normal"/>
              <w:spacing w:lineRule="auto" w:line="360"/>
              <w:rPr>
                <w:b/>
                <w:b/>
                <w:bCs/>
                <w:color w:val="000000"/>
                <w:sz w:val="22"/>
              </w:rPr>
            </w:pPr>
            <w:r>
              <w:rPr>
                <w:b/>
                <w:bCs/>
                <w:color w:val="000000"/>
                <w:sz w:val="22"/>
                <w:szCs w:val="22"/>
              </w:rPr>
              <w:t>2015</w:t>
            </w:r>
          </w:p>
        </w:tc>
        <w:tc>
          <w:tcPr>
            <w:tcW w:w="749" w:type="dxa"/>
            <w:tcBorders>
              <w:top w:val="single" w:sz="4" w:space="0" w:color="00000A"/>
              <w:bottom w:val="single" w:sz="4" w:space="0" w:color="00000A"/>
              <w:insideH w:val="single" w:sz="4" w:space="0" w:color="00000A"/>
            </w:tcBorders>
            <w:shd w:color="auto" w:fill="95B3D7" w:val="clear"/>
          </w:tcPr>
          <w:p>
            <w:pPr>
              <w:pStyle w:val="Normal"/>
              <w:spacing w:lineRule="auto" w:line="360"/>
              <w:rPr>
                <w:b/>
                <w:b/>
                <w:bCs/>
                <w:color w:val="000000"/>
                <w:sz w:val="22"/>
              </w:rPr>
            </w:pPr>
            <w:r>
              <w:rPr>
                <w:b/>
                <w:bCs/>
                <w:color w:val="000000"/>
                <w:sz w:val="22"/>
                <w:szCs w:val="22"/>
              </w:rPr>
              <w:t>2016</w:t>
            </w:r>
          </w:p>
        </w:tc>
      </w:tr>
      <w:tr>
        <w:trPr>
          <w:trHeight w:val="303" w:hRule="atLeast"/>
        </w:trPr>
        <w:tc>
          <w:tcPr>
            <w:tcW w:w="4364" w:type="dxa"/>
            <w:tcBorders>
              <w:top w:val="single" w:sz="4" w:space="0" w:color="00000A"/>
              <w:bottom w:val="single" w:sz="4" w:space="0" w:color="00000A"/>
              <w:insideH w:val="single" w:sz="4" w:space="0" w:color="00000A"/>
            </w:tcBorders>
            <w:shd w:color="auto" w:fill="D3DFEE" w:val="clear"/>
          </w:tcPr>
          <w:p>
            <w:pPr>
              <w:pStyle w:val="Normal"/>
              <w:spacing w:lineRule="auto" w:line="360"/>
              <w:rPr>
                <w:b/>
                <w:b/>
                <w:bCs/>
                <w:color w:val="000000"/>
                <w:sz w:val="22"/>
              </w:rPr>
            </w:pPr>
            <w:r>
              <w:rPr>
                <w:b/>
                <w:bCs/>
                <w:color w:val="000000"/>
                <w:sz w:val="22"/>
                <w:szCs w:val="22"/>
              </w:rPr>
              <w:t>Cap I. Algumas doenças infecciosas e parasitárias</w:t>
            </w:r>
          </w:p>
        </w:tc>
        <w:tc>
          <w:tcPr>
            <w:tcW w:w="845"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27,1</w:t>
            </w:r>
          </w:p>
        </w:tc>
        <w:tc>
          <w:tcPr>
            <w:tcW w:w="805"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26,4</w:t>
            </w:r>
          </w:p>
        </w:tc>
        <w:tc>
          <w:tcPr>
            <w:tcW w:w="845"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26,6</w:t>
            </w:r>
          </w:p>
        </w:tc>
        <w:tc>
          <w:tcPr>
            <w:tcW w:w="791"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26,2</w:t>
            </w:r>
          </w:p>
        </w:tc>
        <w:tc>
          <w:tcPr>
            <w:tcW w:w="791"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26,6</w:t>
            </w:r>
          </w:p>
        </w:tc>
        <w:tc>
          <w:tcPr>
            <w:tcW w:w="749"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25,3</w:t>
            </w:r>
          </w:p>
        </w:tc>
      </w:tr>
      <w:tr>
        <w:trPr>
          <w:trHeight w:val="303" w:hRule="atLeast"/>
        </w:trPr>
        <w:tc>
          <w:tcPr>
            <w:tcW w:w="4364"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II. Neoplasias [Tumores]</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19,6</w:t>
            </w:r>
          </w:p>
        </w:tc>
        <w:tc>
          <w:tcPr>
            <w:tcW w:w="80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19,6</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19,5</w:t>
            </w:r>
          </w:p>
        </w:tc>
        <w:tc>
          <w:tcPr>
            <w:tcW w:w="79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19,8</w:t>
            </w:r>
          </w:p>
        </w:tc>
        <w:tc>
          <w:tcPr>
            <w:tcW w:w="79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19,6</w:t>
            </w:r>
          </w:p>
        </w:tc>
        <w:tc>
          <w:tcPr>
            <w:tcW w:w="749"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19,5</w:t>
            </w:r>
          </w:p>
        </w:tc>
      </w:tr>
      <w:tr>
        <w:trPr>
          <w:trHeight w:val="303" w:hRule="atLeast"/>
        </w:trPr>
        <w:tc>
          <w:tcPr>
            <w:tcW w:w="4364" w:type="dxa"/>
            <w:tcBorders>
              <w:top w:val="single" w:sz="4" w:space="0" w:color="00000A"/>
              <w:bottom w:val="single" w:sz="4" w:space="0" w:color="00000A"/>
              <w:insideH w:val="single" w:sz="4" w:space="0" w:color="00000A"/>
            </w:tcBorders>
            <w:shd w:color="auto" w:fill="D3DFEE" w:val="clear"/>
          </w:tcPr>
          <w:p>
            <w:pPr>
              <w:pStyle w:val="Normal"/>
              <w:spacing w:lineRule="auto" w:line="360"/>
              <w:rPr>
                <w:b/>
                <w:b/>
                <w:bCs/>
                <w:color w:val="000000"/>
                <w:sz w:val="22"/>
              </w:rPr>
            </w:pPr>
            <w:r>
              <w:rPr>
                <w:b/>
                <w:bCs/>
                <w:color w:val="000000"/>
                <w:sz w:val="22"/>
                <w:szCs w:val="22"/>
              </w:rPr>
              <w:t>Cap III. Doenças do sangue e dos órgãos hematopoéticos e alguns transtornos imunitários</w:t>
            </w:r>
          </w:p>
        </w:tc>
        <w:tc>
          <w:tcPr>
            <w:tcW w:w="845"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26,3</w:t>
            </w:r>
          </w:p>
        </w:tc>
        <w:tc>
          <w:tcPr>
            <w:tcW w:w="805"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25,8</w:t>
            </w:r>
          </w:p>
        </w:tc>
        <w:tc>
          <w:tcPr>
            <w:tcW w:w="845"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26,9</w:t>
            </w:r>
          </w:p>
        </w:tc>
        <w:tc>
          <w:tcPr>
            <w:tcW w:w="791"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20</w:t>
            </w:r>
          </w:p>
        </w:tc>
        <w:tc>
          <w:tcPr>
            <w:tcW w:w="791"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21,7</w:t>
            </w:r>
          </w:p>
        </w:tc>
        <w:tc>
          <w:tcPr>
            <w:tcW w:w="749"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24,2</w:t>
            </w:r>
          </w:p>
        </w:tc>
      </w:tr>
      <w:tr>
        <w:trPr>
          <w:trHeight w:val="303" w:hRule="atLeast"/>
        </w:trPr>
        <w:tc>
          <w:tcPr>
            <w:tcW w:w="4364"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IV. Doenças endócrinas, nutricionais e metabólicas</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19,5</w:t>
            </w:r>
          </w:p>
        </w:tc>
        <w:tc>
          <w:tcPr>
            <w:tcW w:w="80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20,2</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19,9</w:t>
            </w:r>
          </w:p>
        </w:tc>
        <w:tc>
          <w:tcPr>
            <w:tcW w:w="79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19,7</w:t>
            </w:r>
          </w:p>
        </w:tc>
        <w:tc>
          <w:tcPr>
            <w:tcW w:w="79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20,0</w:t>
            </w:r>
          </w:p>
        </w:tc>
        <w:tc>
          <w:tcPr>
            <w:tcW w:w="749"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20,6</w:t>
            </w:r>
          </w:p>
        </w:tc>
      </w:tr>
      <w:tr>
        <w:trPr>
          <w:trHeight w:val="303" w:hRule="atLeast"/>
        </w:trPr>
        <w:tc>
          <w:tcPr>
            <w:tcW w:w="4364" w:type="dxa"/>
            <w:tcBorders>
              <w:top w:val="single" w:sz="4" w:space="0" w:color="00000A"/>
              <w:bottom w:val="single" w:sz="4" w:space="0" w:color="00000A"/>
              <w:insideH w:val="single" w:sz="4" w:space="0" w:color="00000A"/>
            </w:tcBorders>
            <w:shd w:color="auto" w:fill="D3DFEE" w:val="clear"/>
          </w:tcPr>
          <w:p>
            <w:pPr>
              <w:pStyle w:val="Normal"/>
              <w:spacing w:lineRule="auto" w:line="360"/>
              <w:rPr>
                <w:b/>
                <w:b/>
                <w:bCs/>
                <w:color w:val="000000"/>
                <w:sz w:val="22"/>
              </w:rPr>
            </w:pPr>
            <w:r>
              <w:rPr>
                <w:b/>
                <w:bCs/>
                <w:color w:val="000000"/>
                <w:sz w:val="22"/>
                <w:szCs w:val="22"/>
              </w:rPr>
              <w:t>Cap V. Transtornos mentais e comportamentais</w:t>
            </w:r>
          </w:p>
        </w:tc>
        <w:tc>
          <w:tcPr>
            <w:tcW w:w="845"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23,1</w:t>
            </w:r>
          </w:p>
        </w:tc>
        <w:tc>
          <w:tcPr>
            <w:tcW w:w="805"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22,9</w:t>
            </w:r>
          </w:p>
        </w:tc>
        <w:tc>
          <w:tcPr>
            <w:tcW w:w="845"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22,8</w:t>
            </w:r>
          </w:p>
        </w:tc>
        <w:tc>
          <w:tcPr>
            <w:tcW w:w="791"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23,2</w:t>
            </w:r>
          </w:p>
        </w:tc>
        <w:tc>
          <w:tcPr>
            <w:tcW w:w="791"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22,2</w:t>
            </w:r>
          </w:p>
        </w:tc>
        <w:tc>
          <w:tcPr>
            <w:tcW w:w="749"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22,8</w:t>
            </w:r>
          </w:p>
        </w:tc>
      </w:tr>
      <w:tr>
        <w:trPr>
          <w:trHeight w:val="360" w:hRule="atLeast"/>
        </w:trPr>
        <w:tc>
          <w:tcPr>
            <w:tcW w:w="4364"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VI. Doenças do sistema nervoso</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25</w:t>
            </w:r>
          </w:p>
        </w:tc>
        <w:tc>
          <w:tcPr>
            <w:tcW w:w="80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28,7</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26,9</w:t>
            </w:r>
          </w:p>
        </w:tc>
        <w:tc>
          <w:tcPr>
            <w:tcW w:w="79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27,2</w:t>
            </w:r>
          </w:p>
        </w:tc>
        <w:tc>
          <w:tcPr>
            <w:tcW w:w="79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25,1</w:t>
            </w:r>
          </w:p>
        </w:tc>
        <w:tc>
          <w:tcPr>
            <w:tcW w:w="749"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26,3</w:t>
            </w:r>
          </w:p>
        </w:tc>
      </w:tr>
      <w:tr>
        <w:trPr>
          <w:trHeight w:val="360" w:hRule="atLeast"/>
        </w:trPr>
        <w:tc>
          <w:tcPr>
            <w:tcW w:w="4364"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IX. Doenças do aparelho circulatório</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19,8</w:t>
            </w:r>
          </w:p>
        </w:tc>
        <w:tc>
          <w:tcPr>
            <w:tcW w:w="80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19,9</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19,8</w:t>
            </w:r>
          </w:p>
        </w:tc>
        <w:tc>
          <w:tcPr>
            <w:tcW w:w="79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20</w:t>
            </w:r>
          </w:p>
        </w:tc>
        <w:tc>
          <w:tcPr>
            <w:tcW w:w="79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19,4</w:t>
            </w:r>
          </w:p>
        </w:tc>
        <w:tc>
          <w:tcPr>
            <w:tcW w:w="749"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19,7</w:t>
            </w:r>
          </w:p>
        </w:tc>
      </w:tr>
      <w:tr>
        <w:trPr>
          <w:trHeight w:val="360" w:hRule="atLeast"/>
        </w:trPr>
        <w:tc>
          <w:tcPr>
            <w:tcW w:w="4364"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X. Doenças do aparelho respiratório</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21,5</w:t>
            </w:r>
          </w:p>
        </w:tc>
        <w:tc>
          <w:tcPr>
            <w:tcW w:w="80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21,1</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21,2</w:t>
            </w:r>
          </w:p>
        </w:tc>
        <w:tc>
          <w:tcPr>
            <w:tcW w:w="79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21</w:t>
            </w:r>
          </w:p>
        </w:tc>
        <w:tc>
          <w:tcPr>
            <w:tcW w:w="79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21,4</w:t>
            </w:r>
          </w:p>
        </w:tc>
        <w:tc>
          <w:tcPr>
            <w:tcW w:w="749"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20,5</w:t>
            </w:r>
          </w:p>
        </w:tc>
      </w:tr>
      <w:tr>
        <w:trPr>
          <w:trHeight w:val="360" w:hRule="atLeast"/>
        </w:trPr>
        <w:tc>
          <w:tcPr>
            <w:tcW w:w="4364"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XI. Doenças do aparelho digestivo</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21,2</w:t>
            </w:r>
          </w:p>
        </w:tc>
        <w:tc>
          <w:tcPr>
            <w:tcW w:w="80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21,5</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21,4</w:t>
            </w:r>
          </w:p>
        </w:tc>
        <w:tc>
          <w:tcPr>
            <w:tcW w:w="79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20,8</w:t>
            </w:r>
          </w:p>
        </w:tc>
        <w:tc>
          <w:tcPr>
            <w:tcW w:w="79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20,6</w:t>
            </w:r>
          </w:p>
        </w:tc>
        <w:tc>
          <w:tcPr>
            <w:tcW w:w="749"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20,5</w:t>
            </w:r>
          </w:p>
        </w:tc>
      </w:tr>
      <w:tr>
        <w:trPr>
          <w:trHeight w:val="360" w:hRule="atLeast"/>
        </w:trPr>
        <w:tc>
          <w:tcPr>
            <w:tcW w:w="4364"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XII. Doenças da pele e do tecido celular subcutâneo</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21,3</w:t>
            </w:r>
          </w:p>
        </w:tc>
        <w:tc>
          <w:tcPr>
            <w:tcW w:w="80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22</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22,4</w:t>
            </w:r>
          </w:p>
        </w:tc>
        <w:tc>
          <w:tcPr>
            <w:tcW w:w="79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23,9</w:t>
            </w:r>
          </w:p>
        </w:tc>
        <w:tc>
          <w:tcPr>
            <w:tcW w:w="79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21,1</w:t>
            </w:r>
          </w:p>
        </w:tc>
        <w:tc>
          <w:tcPr>
            <w:tcW w:w="749"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18</w:t>
            </w:r>
          </w:p>
        </w:tc>
      </w:tr>
      <w:tr>
        <w:trPr>
          <w:trHeight w:val="360" w:hRule="atLeast"/>
        </w:trPr>
        <w:tc>
          <w:tcPr>
            <w:tcW w:w="4364"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XIII. Doenças do sistema osteomuscular e do tecido conjuntivo</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27,3</w:t>
            </w:r>
          </w:p>
        </w:tc>
        <w:tc>
          <w:tcPr>
            <w:tcW w:w="80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20</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23,5</w:t>
            </w:r>
          </w:p>
        </w:tc>
        <w:tc>
          <w:tcPr>
            <w:tcW w:w="79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18,9</w:t>
            </w:r>
          </w:p>
        </w:tc>
        <w:tc>
          <w:tcPr>
            <w:tcW w:w="79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24,7</w:t>
            </w:r>
          </w:p>
        </w:tc>
        <w:tc>
          <w:tcPr>
            <w:tcW w:w="749"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24,1</w:t>
            </w:r>
          </w:p>
        </w:tc>
      </w:tr>
      <w:tr>
        <w:trPr>
          <w:trHeight w:val="360" w:hRule="atLeast"/>
        </w:trPr>
        <w:tc>
          <w:tcPr>
            <w:tcW w:w="4364"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XIV. Doenças do aparelho geniturinário</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21,2</w:t>
            </w:r>
          </w:p>
        </w:tc>
        <w:tc>
          <w:tcPr>
            <w:tcW w:w="80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21,8</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22</w:t>
            </w:r>
          </w:p>
        </w:tc>
        <w:tc>
          <w:tcPr>
            <w:tcW w:w="79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24,5</w:t>
            </w:r>
          </w:p>
        </w:tc>
        <w:tc>
          <w:tcPr>
            <w:tcW w:w="79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20,3</w:t>
            </w:r>
          </w:p>
        </w:tc>
        <w:tc>
          <w:tcPr>
            <w:tcW w:w="749"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21,3</w:t>
            </w:r>
          </w:p>
        </w:tc>
      </w:tr>
      <w:tr>
        <w:trPr>
          <w:trHeight w:val="360" w:hRule="atLeast"/>
        </w:trPr>
        <w:tc>
          <w:tcPr>
            <w:tcW w:w="4364"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XVII. Malformações congênitas, deformidas e anomalias cromossômicas</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27,9</w:t>
            </w:r>
          </w:p>
        </w:tc>
        <w:tc>
          <w:tcPr>
            <w:tcW w:w="80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28,7</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36,4</w:t>
            </w:r>
          </w:p>
        </w:tc>
        <w:tc>
          <w:tcPr>
            <w:tcW w:w="79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25,4</w:t>
            </w:r>
          </w:p>
        </w:tc>
        <w:tc>
          <w:tcPr>
            <w:tcW w:w="79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27,6</w:t>
            </w:r>
          </w:p>
        </w:tc>
        <w:tc>
          <w:tcPr>
            <w:tcW w:w="749"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30,9</w:t>
            </w:r>
          </w:p>
        </w:tc>
      </w:tr>
      <w:tr>
        <w:trPr>
          <w:trHeight w:val="360" w:hRule="atLeast"/>
        </w:trPr>
        <w:tc>
          <w:tcPr>
            <w:tcW w:w="4364"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XVIII. Sintomas, sinais e achados anormais de exames clínicos e de laboratório, não classificados em outra parte</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24,7</w:t>
            </w:r>
          </w:p>
        </w:tc>
        <w:tc>
          <w:tcPr>
            <w:tcW w:w="80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24,3</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23,6</w:t>
            </w:r>
          </w:p>
        </w:tc>
        <w:tc>
          <w:tcPr>
            <w:tcW w:w="79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23</w:t>
            </w:r>
          </w:p>
        </w:tc>
        <w:tc>
          <w:tcPr>
            <w:tcW w:w="79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25</w:t>
            </w:r>
          </w:p>
        </w:tc>
        <w:tc>
          <w:tcPr>
            <w:tcW w:w="749"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23,9</w:t>
            </w:r>
          </w:p>
        </w:tc>
      </w:tr>
      <w:tr>
        <w:trPr>
          <w:trHeight w:val="360" w:hRule="atLeast"/>
        </w:trPr>
        <w:tc>
          <w:tcPr>
            <w:tcW w:w="4364"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XX. Causas externas de morbidade e de mortalidade</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33,4</w:t>
            </w:r>
          </w:p>
        </w:tc>
        <w:tc>
          <w:tcPr>
            <w:tcW w:w="80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33,7</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33,2</w:t>
            </w:r>
          </w:p>
        </w:tc>
        <w:tc>
          <w:tcPr>
            <w:tcW w:w="79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33,3</w:t>
            </w:r>
          </w:p>
        </w:tc>
        <w:tc>
          <w:tcPr>
            <w:tcW w:w="79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33,4</w:t>
            </w:r>
          </w:p>
        </w:tc>
        <w:tc>
          <w:tcPr>
            <w:tcW w:w="749"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32,9</w:t>
            </w:r>
          </w:p>
        </w:tc>
      </w:tr>
    </w:tbl>
    <w:p>
      <w:pPr>
        <w:pStyle w:val="Normal"/>
        <w:spacing w:lineRule="auto" w:line="360" w:before="0" w:after="150"/>
        <w:rPr>
          <w:color w:val="000000"/>
          <w:sz w:val="14"/>
          <w:szCs w:val="14"/>
        </w:rPr>
      </w:pPr>
      <w:r>
        <w:rPr>
          <w:rFonts w:cs="Arial"/>
          <w:color w:val="000000"/>
          <w:sz w:val="14"/>
          <w:szCs w:val="14"/>
          <w:highlight w:val="white"/>
        </w:rPr>
        <w:t>Fonte SIM</w:t>
      </w:r>
    </w:p>
    <w:p>
      <w:pPr>
        <w:pStyle w:val="Normal"/>
        <w:spacing w:lineRule="auto" w:line="360" w:before="0" w:after="150"/>
        <w:rPr>
          <w:rFonts w:cs="Arial"/>
          <w:highlight w:val="white"/>
        </w:rPr>
      </w:pPr>
      <w:r>
        <w:rPr>
          <w:rFonts w:cs="Arial"/>
          <w:highlight w:val="white"/>
        </w:rPr>
      </w:r>
    </w:p>
    <w:p>
      <w:pPr>
        <w:pStyle w:val="Normal"/>
        <w:spacing w:lineRule="auto" w:line="360" w:before="0" w:after="150"/>
        <w:rPr>
          <w:color w:val="000000"/>
          <w:sz w:val="20"/>
          <w:szCs w:val="20"/>
        </w:rPr>
      </w:pPr>
      <w:r>
        <w:rPr>
          <w:rFonts w:cs="Arial"/>
          <w:color w:val="000000"/>
          <w:highlight w:val="white"/>
        </w:rPr>
        <w:t xml:space="preserve">Em 2011, foram realizadas  84.820 internações SUS do sexo masculino, constatando-se aumento nos anos posteriores. No ano de 2016, o número  foi de 98.020 enquanto que para o período de 2011 a 2016, o número total foi de  545.960 internações (Tabela 4). </w:t>
      </w:r>
    </w:p>
    <w:p>
      <w:pPr>
        <w:pStyle w:val="Normal"/>
        <w:spacing w:lineRule="auto" w:line="360"/>
        <w:rPr>
          <w:color w:val="000000"/>
          <w:sz w:val="20"/>
          <w:szCs w:val="20"/>
        </w:rPr>
      </w:pPr>
      <w:r>
        <w:rPr>
          <w:color w:val="000000"/>
          <w:sz w:val="20"/>
          <w:szCs w:val="20"/>
        </w:rPr>
        <w:t>Tabela 4. Número de internações hospitalares SUS nas dez primeiras causas/ capítulos do CID 10 na população masculina de 20 a 59 anos em, SC de 2011 a 2016 (Tabela 4)</w:t>
      </w:r>
    </w:p>
    <w:tbl>
      <w:tblPr>
        <w:tblW w:w="8723" w:type="dxa"/>
        <w:jc w:val="left"/>
        <w:tblInd w:w="59" w:type="dxa"/>
        <w:tblBorders>
          <w:top w:val="single" w:sz="4" w:space="0" w:color="00000A"/>
          <w:bottom w:val="single" w:sz="4" w:space="0" w:color="00000A"/>
          <w:insideH w:val="single" w:sz="4" w:space="0" w:color="00000A"/>
        </w:tblBorders>
        <w:tblCellMar>
          <w:top w:w="0" w:type="dxa"/>
          <w:left w:w="108" w:type="dxa"/>
          <w:bottom w:w="0" w:type="dxa"/>
          <w:right w:w="108" w:type="dxa"/>
        </w:tblCellMar>
        <w:tblLook w:val="04a0"/>
      </w:tblPr>
      <w:tblGrid>
        <w:gridCol w:w="3340"/>
        <w:gridCol w:w="969"/>
        <w:gridCol w:w="914"/>
        <w:gridCol w:w="900"/>
        <w:gridCol w:w="859"/>
        <w:gridCol w:w="845"/>
        <w:gridCol w:w="895"/>
      </w:tblGrid>
      <w:tr>
        <w:trPr>
          <w:trHeight w:val="300" w:hRule="atLeast"/>
        </w:trPr>
        <w:tc>
          <w:tcPr>
            <w:tcW w:w="3340" w:type="dxa"/>
            <w:tcBorders>
              <w:top w:val="single" w:sz="4" w:space="0" w:color="00000A"/>
              <w:bottom w:val="single" w:sz="4" w:space="0" w:color="00000A"/>
              <w:insideH w:val="single" w:sz="4" w:space="0" w:color="00000A"/>
            </w:tcBorders>
            <w:shd w:color="auto" w:fill="95B3D7" w:val="clear"/>
            <w:vAlign w:val="center"/>
          </w:tcPr>
          <w:p>
            <w:pPr>
              <w:pStyle w:val="Normal"/>
              <w:spacing w:lineRule="auto" w:line="360"/>
              <w:rPr>
                <w:b/>
                <w:b/>
                <w:bCs/>
                <w:color w:val="000000"/>
                <w:sz w:val="22"/>
              </w:rPr>
            </w:pPr>
            <w:r>
              <w:rPr>
                <w:b/>
                <w:bCs/>
                <w:color w:val="000000"/>
                <w:sz w:val="22"/>
                <w:szCs w:val="22"/>
              </w:rPr>
              <w:t xml:space="preserve">Capítulo CID-10 </w:t>
            </w:r>
          </w:p>
        </w:tc>
        <w:tc>
          <w:tcPr>
            <w:tcW w:w="969" w:type="dxa"/>
            <w:tcBorders>
              <w:top w:val="single" w:sz="4" w:space="0" w:color="00000A"/>
              <w:bottom w:val="single" w:sz="4" w:space="0" w:color="00000A"/>
              <w:insideH w:val="single" w:sz="4" w:space="0" w:color="00000A"/>
            </w:tcBorders>
            <w:shd w:color="auto" w:fill="95B3D7" w:val="clear"/>
            <w:vAlign w:val="center"/>
          </w:tcPr>
          <w:p>
            <w:pPr>
              <w:pStyle w:val="Normal"/>
              <w:spacing w:lineRule="auto" w:line="360"/>
              <w:rPr>
                <w:b/>
                <w:b/>
                <w:bCs/>
                <w:color w:val="000000"/>
                <w:sz w:val="22"/>
              </w:rPr>
            </w:pPr>
            <w:r>
              <w:rPr>
                <w:b/>
                <w:bCs/>
                <w:color w:val="000000"/>
                <w:sz w:val="22"/>
                <w:szCs w:val="22"/>
              </w:rPr>
              <w:t>2011</w:t>
            </w:r>
          </w:p>
        </w:tc>
        <w:tc>
          <w:tcPr>
            <w:tcW w:w="914" w:type="dxa"/>
            <w:tcBorders>
              <w:top w:val="single" w:sz="4" w:space="0" w:color="00000A"/>
              <w:bottom w:val="single" w:sz="4" w:space="0" w:color="00000A"/>
              <w:insideH w:val="single" w:sz="4" w:space="0" w:color="00000A"/>
            </w:tcBorders>
            <w:shd w:color="auto" w:fill="95B3D7" w:val="clear"/>
            <w:vAlign w:val="center"/>
          </w:tcPr>
          <w:p>
            <w:pPr>
              <w:pStyle w:val="Normal"/>
              <w:spacing w:lineRule="auto" w:line="360"/>
              <w:rPr>
                <w:b/>
                <w:b/>
                <w:bCs/>
                <w:color w:val="000000"/>
                <w:sz w:val="22"/>
              </w:rPr>
            </w:pPr>
            <w:r>
              <w:rPr>
                <w:b/>
                <w:bCs/>
                <w:color w:val="000000"/>
                <w:sz w:val="22"/>
                <w:szCs w:val="22"/>
              </w:rPr>
              <w:t>2012</w:t>
            </w:r>
          </w:p>
        </w:tc>
        <w:tc>
          <w:tcPr>
            <w:tcW w:w="900" w:type="dxa"/>
            <w:tcBorders>
              <w:top w:val="single" w:sz="4" w:space="0" w:color="00000A"/>
              <w:bottom w:val="single" w:sz="4" w:space="0" w:color="00000A"/>
              <w:insideH w:val="single" w:sz="4" w:space="0" w:color="00000A"/>
            </w:tcBorders>
            <w:shd w:color="auto" w:fill="95B3D7" w:val="clear"/>
            <w:vAlign w:val="center"/>
          </w:tcPr>
          <w:p>
            <w:pPr>
              <w:pStyle w:val="Normal"/>
              <w:spacing w:lineRule="auto" w:line="360"/>
              <w:rPr>
                <w:b/>
                <w:b/>
                <w:bCs/>
                <w:color w:val="000000"/>
                <w:sz w:val="22"/>
              </w:rPr>
            </w:pPr>
            <w:r>
              <w:rPr>
                <w:b/>
                <w:bCs/>
                <w:color w:val="000000"/>
                <w:sz w:val="22"/>
                <w:szCs w:val="22"/>
              </w:rPr>
              <w:t>2013</w:t>
            </w:r>
          </w:p>
        </w:tc>
        <w:tc>
          <w:tcPr>
            <w:tcW w:w="859" w:type="dxa"/>
            <w:tcBorders>
              <w:top w:val="single" w:sz="4" w:space="0" w:color="00000A"/>
              <w:bottom w:val="single" w:sz="4" w:space="0" w:color="00000A"/>
              <w:insideH w:val="single" w:sz="4" w:space="0" w:color="00000A"/>
            </w:tcBorders>
            <w:shd w:color="auto" w:fill="95B3D7" w:val="clear"/>
            <w:vAlign w:val="center"/>
          </w:tcPr>
          <w:p>
            <w:pPr>
              <w:pStyle w:val="Normal"/>
              <w:spacing w:lineRule="auto" w:line="360"/>
              <w:rPr>
                <w:b/>
                <w:b/>
                <w:bCs/>
                <w:color w:val="000000"/>
                <w:sz w:val="22"/>
              </w:rPr>
            </w:pPr>
            <w:r>
              <w:rPr>
                <w:b/>
                <w:bCs/>
                <w:color w:val="000000"/>
                <w:sz w:val="22"/>
                <w:szCs w:val="22"/>
              </w:rPr>
              <w:t>2014</w:t>
            </w:r>
          </w:p>
        </w:tc>
        <w:tc>
          <w:tcPr>
            <w:tcW w:w="845" w:type="dxa"/>
            <w:tcBorders>
              <w:top w:val="single" w:sz="4" w:space="0" w:color="00000A"/>
              <w:bottom w:val="single" w:sz="4" w:space="0" w:color="00000A"/>
              <w:insideH w:val="single" w:sz="4" w:space="0" w:color="00000A"/>
            </w:tcBorders>
            <w:shd w:color="auto" w:fill="95B3D7" w:val="clear"/>
            <w:vAlign w:val="center"/>
          </w:tcPr>
          <w:p>
            <w:pPr>
              <w:pStyle w:val="Normal"/>
              <w:spacing w:lineRule="auto" w:line="360"/>
              <w:rPr>
                <w:b/>
                <w:b/>
                <w:bCs/>
                <w:color w:val="000000"/>
                <w:sz w:val="22"/>
              </w:rPr>
            </w:pPr>
            <w:r>
              <w:rPr>
                <w:b/>
                <w:bCs/>
                <w:color w:val="000000"/>
                <w:sz w:val="22"/>
                <w:szCs w:val="22"/>
              </w:rPr>
              <w:t>2015</w:t>
            </w:r>
          </w:p>
        </w:tc>
        <w:tc>
          <w:tcPr>
            <w:tcW w:w="895" w:type="dxa"/>
            <w:tcBorders>
              <w:top w:val="single" w:sz="4" w:space="0" w:color="00000A"/>
              <w:bottom w:val="single" w:sz="4" w:space="0" w:color="00000A"/>
              <w:insideH w:val="single" w:sz="4" w:space="0" w:color="00000A"/>
            </w:tcBorders>
            <w:shd w:color="auto" w:fill="95B3D7" w:val="clear"/>
            <w:vAlign w:val="center"/>
          </w:tcPr>
          <w:p>
            <w:pPr>
              <w:pStyle w:val="Normal"/>
              <w:spacing w:lineRule="auto" w:line="360"/>
              <w:rPr>
                <w:b/>
                <w:b/>
                <w:bCs/>
                <w:color w:val="000000"/>
                <w:sz w:val="22"/>
              </w:rPr>
            </w:pPr>
            <w:r>
              <w:rPr>
                <w:b/>
                <w:bCs/>
                <w:color w:val="000000"/>
                <w:sz w:val="22"/>
                <w:szCs w:val="22"/>
              </w:rPr>
              <w:t>2016</w:t>
            </w:r>
          </w:p>
        </w:tc>
      </w:tr>
      <w:tr>
        <w:trPr>
          <w:trHeight w:val="300" w:hRule="atLeast"/>
        </w:trPr>
        <w:tc>
          <w:tcPr>
            <w:tcW w:w="3340" w:type="dxa"/>
            <w:tcBorders>
              <w:top w:val="single" w:sz="4" w:space="0" w:color="00000A"/>
              <w:bottom w:val="single" w:sz="4" w:space="0" w:color="00000A"/>
              <w:insideH w:val="single" w:sz="4" w:space="0" w:color="00000A"/>
            </w:tcBorders>
            <w:shd w:color="auto" w:fill="D3DFEE" w:val="clear"/>
          </w:tcPr>
          <w:p>
            <w:pPr>
              <w:pStyle w:val="Normal"/>
              <w:spacing w:lineRule="auto" w:line="360"/>
              <w:rPr>
                <w:b/>
                <w:b/>
                <w:bCs/>
                <w:color w:val="000000"/>
                <w:sz w:val="22"/>
              </w:rPr>
            </w:pPr>
            <w:r>
              <w:rPr>
                <w:b/>
                <w:bCs/>
                <w:color w:val="000000"/>
                <w:sz w:val="22"/>
                <w:szCs w:val="22"/>
              </w:rPr>
              <w:t>Cap I. Algumas doenças infecciosas e parasitárias</w:t>
            </w:r>
          </w:p>
        </w:tc>
        <w:tc>
          <w:tcPr>
            <w:tcW w:w="969"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4921</w:t>
            </w:r>
          </w:p>
        </w:tc>
        <w:tc>
          <w:tcPr>
            <w:tcW w:w="914"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4796</w:t>
            </w:r>
          </w:p>
        </w:tc>
        <w:tc>
          <w:tcPr>
            <w:tcW w:w="900"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4643</w:t>
            </w:r>
          </w:p>
        </w:tc>
        <w:tc>
          <w:tcPr>
            <w:tcW w:w="859"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5388</w:t>
            </w:r>
          </w:p>
        </w:tc>
        <w:tc>
          <w:tcPr>
            <w:tcW w:w="845"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5461</w:t>
            </w:r>
          </w:p>
        </w:tc>
        <w:tc>
          <w:tcPr>
            <w:tcW w:w="895"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5627</w:t>
            </w:r>
          </w:p>
        </w:tc>
      </w:tr>
      <w:tr>
        <w:trPr>
          <w:trHeight w:val="300" w:hRule="atLeast"/>
        </w:trPr>
        <w:tc>
          <w:tcPr>
            <w:tcW w:w="3340"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II. Neoplasias [Tumores]</w:t>
            </w:r>
          </w:p>
        </w:tc>
        <w:tc>
          <w:tcPr>
            <w:tcW w:w="969"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5642</w:t>
            </w:r>
          </w:p>
        </w:tc>
        <w:tc>
          <w:tcPr>
            <w:tcW w:w="914"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5628</w:t>
            </w:r>
          </w:p>
        </w:tc>
        <w:tc>
          <w:tcPr>
            <w:tcW w:w="900"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6109</w:t>
            </w:r>
          </w:p>
        </w:tc>
        <w:tc>
          <w:tcPr>
            <w:tcW w:w="859"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6884</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7386</w:t>
            </w:r>
          </w:p>
        </w:tc>
        <w:tc>
          <w:tcPr>
            <w:tcW w:w="89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7638</w:t>
            </w:r>
          </w:p>
        </w:tc>
      </w:tr>
      <w:tr>
        <w:trPr>
          <w:trHeight w:val="300" w:hRule="atLeast"/>
        </w:trPr>
        <w:tc>
          <w:tcPr>
            <w:tcW w:w="3340" w:type="dxa"/>
            <w:tcBorders>
              <w:top w:val="single" w:sz="4" w:space="0" w:color="00000A"/>
              <w:bottom w:val="single" w:sz="4" w:space="0" w:color="00000A"/>
              <w:insideH w:val="single" w:sz="4" w:space="0" w:color="00000A"/>
            </w:tcBorders>
            <w:shd w:color="auto" w:fill="D3DFEE" w:val="clear"/>
          </w:tcPr>
          <w:p>
            <w:pPr>
              <w:pStyle w:val="Normal"/>
              <w:spacing w:lineRule="auto" w:line="360"/>
              <w:rPr>
                <w:b/>
                <w:b/>
                <w:bCs/>
                <w:color w:val="000000"/>
                <w:sz w:val="22"/>
              </w:rPr>
            </w:pPr>
            <w:r>
              <w:rPr>
                <w:b/>
                <w:bCs/>
                <w:color w:val="000000"/>
                <w:sz w:val="22"/>
                <w:szCs w:val="22"/>
              </w:rPr>
              <w:t>Cap V. Transtornos mentais e comportamentais</w:t>
            </w:r>
          </w:p>
        </w:tc>
        <w:tc>
          <w:tcPr>
            <w:tcW w:w="969"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7704</w:t>
            </w:r>
          </w:p>
        </w:tc>
        <w:tc>
          <w:tcPr>
            <w:tcW w:w="914"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7680</w:t>
            </w:r>
          </w:p>
        </w:tc>
        <w:tc>
          <w:tcPr>
            <w:tcW w:w="900"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7551</w:t>
            </w:r>
          </w:p>
        </w:tc>
        <w:tc>
          <w:tcPr>
            <w:tcW w:w="859"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7337</w:t>
            </w:r>
          </w:p>
        </w:tc>
        <w:tc>
          <w:tcPr>
            <w:tcW w:w="845"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7119</w:t>
            </w:r>
          </w:p>
        </w:tc>
        <w:tc>
          <w:tcPr>
            <w:tcW w:w="895"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7504</w:t>
            </w:r>
          </w:p>
        </w:tc>
      </w:tr>
      <w:tr>
        <w:trPr>
          <w:trHeight w:val="444" w:hRule="atLeast"/>
        </w:trPr>
        <w:tc>
          <w:tcPr>
            <w:tcW w:w="3340"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IX. Doenças do aparelho circulatório</w:t>
            </w:r>
          </w:p>
        </w:tc>
        <w:tc>
          <w:tcPr>
            <w:tcW w:w="969"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9959</w:t>
            </w:r>
          </w:p>
        </w:tc>
        <w:tc>
          <w:tcPr>
            <w:tcW w:w="914"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10131</w:t>
            </w:r>
          </w:p>
        </w:tc>
        <w:tc>
          <w:tcPr>
            <w:tcW w:w="900"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9901</w:t>
            </w:r>
          </w:p>
        </w:tc>
        <w:tc>
          <w:tcPr>
            <w:tcW w:w="859"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10004</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9971</w:t>
            </w:r>
          </w:p>
        </w:tc>
        <w:tc>
          <w:tcPr>
            <w:tcW w:w="89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10704</w:t>
            </w:r>
          </w:p>
        </w:tc>
      </w:tr>
      <w:tr>
        <w:trPr>
          <w:trHeight w:val="300" w:hRule="atLeast"/>
        </w:trPr>
        <w:tc>
          <w:tcPr>
            <w:tcW w:w="3340" w:type="dxa"/>
            <w:tcBorders>
              <w:top w:val="single" w:sz="4" w:space="0" w:color="00000A"/>
              <w:bottom w:val="single" w:sz="4" w:space="0" w:color="00000A"/>
              <w:insideH w:val="single" w:sz="4" w:space="0" w:color="00000A"/>
            </w:tcBorders>
            <w:shd w:color="auto" w:fill="D3DFEE" w:val="clear"/>
          </w:tcPr>
          <w:p>
            <w:pPr>
              <w:pStyle w:val="Normal"/>
              <w:spacing w:lineRule="auto" w:line="360"/>
              <w:rPr>
                <w:b/>
                <w:b/>
                <w:bCs/>
                <w:color w:val="000000"/>
                <w:sz w:val="22"/>
              </w:rPr>
            </w:pPr>
            <w:r>
              <w:rPr>
                <w:b/>
                <w:bCs/>
                <w:color w:val="000000"/>
                <w:sz w:val="22"/>
                <w:szCs w:val="22"/>
              </w:rPr>
              <w:t>Cap X. Doenças do aparelho respiratório</w:t>
            </w:r>
          </w:p>
        </w:tc>
        <w:tc>
          <w:tcPr>
            <w:tcW w:w="969"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7498</w:t>
            </w:r>
          </w:p>
        </w:tc>
        <w:tc>
          <w:tcPr>
            <w:tcW w:w="914"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7288</w:t>
            </w:r>
          </w:p>
        </w:tc>
        <w:tc>
          <w:tcPr>
            <w:tcW w:w="900"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6966</w:t>
            </w:r>
          </w:p>
        </w:tc>
        <w:tc>
          <w:tcPr>
            <w:tcW w:w="859"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6955</w:t>
            </w:r>
          </w:p>
        </w:tc>
        <w:tc>
          <w:tcPr>
            <w:tcW w:w="845"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6802</w:t>
            </w:r>
          </w:p>
        </w:tc>
        <w:tc>
          <w:tcPr>
            <w:tcW w:w="895"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7349</w:t>
            </w:r>
          </w:p>
        </w:tc>
      </w:tr>
      <w:tr>
        <w:trPr>
          <w:trHeight w:val="491" w:hRule="atLeast"/>
        </w:trPr>
        <w:tc>
          <w:tcPr>
            <w:tcW w:w="3340"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XI. Doenças do aparelho digestivo</w:t>
            </w:r>
          </w:p>
        </w:tc>
        <w:tc>
          <w:tcPr>
            <w:tcW w:w="969"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11655</w:t>
            </w:r>
          </w:p>
        </w:tc>
        <w:tc>
          <w:tcPr>
            <w:tcW w:w="914"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12396</w:t>
            </w:r>
          </w:p>
        </w:tc>
        <w:tc>
          <w:tcPr>
            <w:tcW w:w="900"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12346</w:t>
            </w:r>
          </w:p>
        </w:tc>
        <w:tc>
          <w:tcPr>
            <w:tcW w:w="859"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13244</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13444</w:t>
            </w:r>
          </w:p>
        </w:tc>
        <w:tc>
          <w:tcPr>
            <w:tcW w:w="89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13336</w:t>
            </w:r>
          </w:p>
        </w:tc>
      </w:tr>
      <w:tr>
        <w:trPr>
          <w:trHeight w:val="300" w:hRule="atLeast"/>
        </w:trPr>
        <w:tc>
          <w:tcPr>
            <w:tcW w:w="3340" w:type="dxa"/>
            <w:tcBorders>
              <w:top w:val="single" w:sz="4" w:space="0" w:color="00000A"/>
              <w:bottom w:val="single" w:sz="4" w:space="0" w:color="00000A"/>
              <w:insideH w:val="single" w:sz="4" w:space="0" w:color="00000A"/>
            </w:tcBorders>
            <w:shd w:color="auto" w:fill="D3DFEE" w:val="clear"/>
          </w:tcPr>
          <w:p>
            <w:pPr>
              <w:pStyle w:val="Normal"/>
              <w:spacing w:lineRule="auto" w:line="360"/>
              <w:rPr>
                <w:b/>
                <w:b/>
                <w:bCs/>
                <w:color w:val="000000"/>
                <w:sz w:val="22"/>
              </w:rPr>
            </w:pPr>
            <w:r>
              <w:rPr>
                <w:b/>
                <w:bCs/>
                <w:color w:val="000000"/>
                <w:sz w:val="22"/>
                <w:szCs w:val="22"/>
              </w:rPr>
              <w:t>Cap XIII. Doenças do sistema osteomuscular e do tecido conjuntivo</w:t>
            </w:r>
          </w:p>
        </w:tc>
        <w:tc>
          <w:tcPr>
            <w:tcW w:w="969"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4621</w:t>
            </w:r>
          </w:p>
        </w:tc>
        <w:tc>
          <w:tcPr>
            <w:tcW w:w="914"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5046</w:t>
            </w:r>
          </w:p>
        </w:tc>
        <w:tc>
          <w:tcPr>
            <w:tcW w:w="900"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5150</w:t>
            </w:r>
          </w:p>
        </w:tc>
        <w:tc>
          <w:tcPr>
            <w:tcW w:w="859"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5312</w:t>
            </w:r>
          </w:p>
        </w:tc>
        <w:tc>
          <w:tcPr>
            <w:tcW w:w="845"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5467</w:t>
            </w:r>
          </w:p>
        </w:tc>
        <w:tc>
          <w:tcPr>
            <w:tcW w:w="895"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5224</w:t>
            </w:r>
          </w:p>
        </w:tc>
      </w:tr>
      <w:tr>
        <w:trPr>
          <w:trHeight w:val="450" w:hRule="atLeast"/>
        </w:trPr>
        <w:tc>
          <w:tcPr>
            <w:tcW w:w="3340"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360"/>
              <w:rPr>
                <w:b/>
                <w:b/>
                <w:bCs/>
                <w:color w:val="000000"/>
                <w:sz w:val="22"/>
              </w:rPr>
            </w:pPr>
            <w:r>
              <w:rPr>
                <w:b/>
                <w:bCs/>
                <w:color w:val="000000"/>
                <w:sz w:val="22"/>
                <w:szCs w:val="22"/>
              </w:rPr>
              <w:t>Cap XIV. Doenças do aparelho geniturinário</w:t>
            </w:r>
          </w:p>
        </w:tc>
        <w:tc>
          <w:tcPr>
            <w:tcW w:w="969"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4364</w:t>
            </w:r>
          </w:p>
        </w:tc>
        <w:tc>
          <w:tcPr>
            <w:tcW w:w="914"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4626</w:t>
            </w:r>
          </w:p>
        </w:tc>
        <w:tc>
          <w:tcPr>
            <w:tcW w:w="900"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4692</w:t>
            </w:r>
          </w:p>
        </w:tc>
        <w:tc>
          <w:tcPr>
            <w:tcW w:w="859"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5288</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5671</w:t>
            </w:r>
          </w:p>
        </w:tc>
        <w:tc>
          <w:tcPr>
            <w:tcW w:w="89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5547</w:t>
            </w:r>
          </w:p>
        </w:tc>
      </w:tr>
      <w:tr>
        <w:trPr>
          <w:trHeight w:val="300" w:hRule="atLeast"/>
        </w:trPr>
        <w:tc>
          <w:tcPr>
            <w:tcW w:w="3340" w:type="dxa"/>
            <w:tcBorders>
              <w:top w:val="single" w:sz="4" w:space="0" w:color="00000A"/>
              <w:bottom w:val="single" w:sz="4" w:space="0" w:color="00000A"/>
              <w:insideH w:val="single" w:sz="4" w:space="0" w:color="00000A"/>
            </w:tcBorders>
            <w:shd w:color="auto" w:fill="D3DFEE" w:val="clear"/>
          </w:tcPr>
          <w:p>
            <w:pPr>
              <w:pStyle w:val="Normal"/>
              <w:spacing w:lineRule="auto" w:line="360"/>
              <w:rPr>
                <w:b/>
                <w:b/>
                <w:bCs/>
                <w:color w:val="000000"/>
                <w:sz w:val="22"/>
              </w:rPr>
            </w:pPr>
            <w:r>
              <w:rPr>
                <w:b/>
                <w:bCs/>
                <w:color w:val="000000"/>
                <w:sz w:val="22"/>
                <w:szCs w:val="22"/>
              </w:rPr>
              <w:t>Cap XIX. Lesões, envenenamentos e algumas outras consequências de causas externas</w:t>
            </w:r>
          </w:p>
        </w:tc>
        <w:tc>
          <w:tcPr>
            <w:tcW w:w="969"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17721</w:t>
            </w:r>
          </w:p>
        </w:tc>
        <w:tc>
          <w:tcPr>
            <w:tcW w:w="914"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18228</w:t>
            </w:r>
          </w:p>
        </w:tc>
        <w:tc>
          <w:tcPr>
            <w:tcW w:w="900"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19024</w:t>
            </w:r>
          </w:p>
        </w:tc>
        <w:tc>
          <w:tcPr>
            <w:tcW w:w="859"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20851</w:t>
            </w:r>
          </w:p>
        </w:tc>
        <w:tc>
          <w:tcPr>
            <w:tcW w:w="845"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21411</w:t>
            </w:r>
          </w:p>
        </w:tc>
        <w:tc>
          <w:tcPr>
            <w:tcW w:w="895" w:type="dxa"/>
            <w:tcBorders>
              <w:top w:val="single" w:sz="4" w:space="0" w:color="00000A"/>
              <w:bottom w:val="single" w:sz="4" w:space="0" w:color="00000A"/>
              <w:insideH w:val="single" w:sz="4" w:space="0" w:color="00000A"/>
            </w:tcBorders>
            <w:shd w:color="auto" w:fill="D3DFEE" w:val="clear"/>
          </w:tcPr>
          <w:p>
            <w:pPr>
              <w:pStyle w:val="Normal"/>
              <w:spacing w:lineRule="auto" w:line="360"/>
              <w:rPr>
                <w:color w:val="000000"/>
                <w:sz w:val="22"/>
              </w:rPr>
            </w:pPr>
            <w:r>
              <w:rPr>
                <w:color w:val="000000"/>
                <w:sz w:val="22"/>
                <w:szCs w:val="22"/>
              </w:rPr>
              <w:t>22079</w:t>
            </w:r>
          </w:p>
        </w:tc>
      </w:tr>
      <w:tr>
        <w:trPr>
          <w:trHeight w:val="300" w:hRule="atLeast"/>
        </w:trPr>
        <w:tc>
          <w:tcPr>
            <w:tcW w:w="3340"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XXI. Fatores que influenciam o estado de saúde e o contato com os serviços de saúde</w:t>
            </w:r>
          </w:p>
        </w:tc>
        <w:tc>
          <w:tcPr>
            <w:tcW w:w="969"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3102</w:t>
            </w:r>
          </w:p>
        </w:tc>
        <w:tc>
          <w:tcPr>
            <w:tcW w:w="914"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2838</w:t>
            </w:r>
          </w:p>
        </w:tc>
        <w:tc>
          <w:tcPr>
            <w:tcW w:w="900"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2846</w:t>
            </w:r>
          </w:p>
        </w:tc>
        <w:tc>
          <w:tcPr>
            <w:tcW w:w="859"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3101</w:t>
            </w:r>
          </w:p>
        </w:tc>
        <w:tc>
          <w:tcPr>
            <w:tcW w:w="84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3393</w:t>
            </w:r>
          </w:p>
        </w:tc>
        <w:tc>
          <w:tcPr>
            <w:tcW w:w="89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3108</w:t>
            </w:r>
          </w:p>
        </w:tc>
      </w:tr>
    </w:tbl>
    <w:p>
      <w:pPr>
        <w:pStyle w:val="Normal"/>
        <w:spacing w:lineRule="auto" w:line="360" w:before="0" w:after="150"/>
        <w:rPr>
          <w:color w:val="000000"/>
          <w:sz w:val="22"/>
          <w:szCs w:val="22"/>
        </w:rPr>
      </w:pPr>
      <w:r>
        <w:rPr>
          <w:rFonts w:cs="Arial"/>
          <w:color w:val="000000"/>
          <w:sz w:val="22"/>
          <w:szCs w:val="22"/>
          <w:highlight w:val="white"/>
        </w:rPr>
        <w:t xml:space="preserve">Fonte Ministério da Saúde - Sistema de Informações Hospitalares do SUS (SIH/SUS) </w:t>
      </w:r>
    </w:p>
    <w:p>
      <w:pPr>
        <w:pStyle w:val="Normal"/>
        <w:spacing w:lineRule="auto" w:line="360" w:before="0" w:after="150"/>
        <w:rPr>
          <w:color w:val="000000"/>
          <w:sz w:val="20"/>
          <w:szCs w:val="20"/>
        </w:rPr>
      </w:pPr>
      <w:r>
        <w:rPr>
          <w:rFonts w:cs="Arial"/>
          <w:color w:val="000000"/>
          <w:highlight w:val="white"/>
        </w:rPr>
        <w:t xml:space="preserve">Para as taxas  de incidência por capítulo CID 10, observa-se que em 2011, entre os homens, as taxas de doenças do  aparelho digestivo e doenças do aparelho circulatório, representaram as três principais causas de internação, apresentando em 2011  taxas de 20.9, 13.7 e 11.7 e em 2016 de 22.5, 13.6 e 10.9 respectivamente </w:t>
      </w:r>
      <w:r>
        <w:rPr>
          <w:rFonts w:cs="Arial"/>
          <w:color w:val="000000"/>
          <w:sz w:val="20"/>
          <w:szCs w:val="20"/>
          <w:highlight w:val="white"/>
        </w:rPr>
        <w:t xml:space="preserve">(Tabela 5).  </w:t>
      </w:r>
    </w:p>
    <w:p>
      <w:pPr>
        <w:pStyle w:val="Normal"/>
        <w:spacing w:lineRule="auto" w:line="360"/>
        <w:rPr>
          <w:color w:val="000000"/>
          <w:sz w:val="18"/>
          <w:szCs w:val="18"/>
        </w:rPr>
      </w:pPr>
      <w:r>
        <w:rPr>
          <w:color w:val="000000"/>
          <w:sz w:val="18"/>
          <w:szCs w:val="18"/>
        </w:rPr>
        <w:t xml:space="preserve">Tabela 5. Percentuais de internações nas primeiras dez  causas /capítulo do CID 10 na população masculina de 20 a 59 anos em SC de 2011 a 2016 </w:t>
      </w:r>
    </w:p>
    <w:tbl>
      <w:tblPr>
        <w:tblW w:w="9163" w:type="dxa"/>
        <w:jc w:val="left"/>
        <w:tblInd w:w="0" w:type="dxa"/>
        <w:tblBorders>
          <w:top w:val="single" w:sz="4" w:space="0" w:color="00000A"/>
          <w:bottom w:val="single" w:sz="4" w:space="0" w:color="00000A"/>
          <w:insideH w:val="single" w:sz="4" w:space="0" w:color="00000A"/>
        </w:tblBorders>
        <w:tblCellMar>
          <w:top w:w="0" w:type="dxa"/>
          <w:left w:w="108" w:type="dxa"/>
          <w:bottom w:w="0" w:type="dxa"/>
          <w:right w:w="108" w:type="dxa"/>
        </w:tblCellMar>
        <w:tblLook w:val="04a0"/>
      </w:tblPr>
      <w:tblGrid>
        <w:gridCol w:w="4567"/>
        <w:gridCol w:w="758"/>
        <w:gridCol w:w="771"/>
        <w:gridCol w:w="770"/>
        <w:gridCol w:w="771"/>
        <w:gridCol w:w="770"/>
        <w:gridCol w:w="755"/>
      </w:tblGrid>
      <w:tr>
        <w:trPr>
          <w:trHeight w:val="300" w:hRule="atLeast"/>
        </w:trPr>
        <w:tc>
          <w:tcPr>
            <w:tcW w:w="4567"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 xml:space="preserve">Capítulo CID-10 </w:t>
            </w:r>
          </w:p>
        </w:tc>
        <w:tc>
          <w:tcPr>
            <w:tcW w:w="758"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2011</w:t>
            </w:r>
          </w:p>
        </w:tc>
        <w:tc>
          <w:tcPr>
            <w:tcW w:w="771"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2012</w:t>
            </w:r>
          </w:p>
        </w:tc>
        <w:tc>
          <w:tcPr>
            <w:tcW w:w="770"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2013</w:t>
            </w:r>
          </w:p>
        </w:tc>
        <w:tc>
          <w:tcPr>
            <w:tcW w:w="771"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2014</w:t>
            </w:r>
          </w:p>
        </w:tc>
        <w:tc>
          <w:tcPr>
            <w:tcW w:w="770"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2015</w:t>
            </w:r>
          </w:p>
        </w:tc>
        <w:tc>
          <w:tcPr>
            <w:tcW w:w="755"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2016</w:t>
            </w:r>
          </w:p>
        </w:tc>
      </w:tr>
      <w:tr>
        <w:trPr>
          <w:trHeight w:val="300" w:hRule="atLeast"/>
        </w:trPr>
        <w:tc>
          <w:tcPr>
            <w:tcW w:w="4567" w:type="dxa"/>
            <w:tcBorders>
              <w:top w:val="single" w:sz="4" w:space="0" w:color="00000A"/>
              <w:bottom w:val="single" w:sz="4" w:space="0" w:color="00000A"/>
              <w:insideH w:val="single" w:sz="4" w:space="0" w:color="00000A"/>
            </w:tcBorders>
            <w:shd w:color="auto" w:fill="E6EED5" w:val="clear"/>
          </w:tcPr>
          <w:p>
            <w:pPr>
              <w:pStyle w:val="Normal"/>
              <w:spacing w:lineRule="auto" w:line="360"/>
              <w:rPr>
                <w:b/>
                <w:b/>
                <w:bCs/>
                <w:color w:val="000000"/>
                <w:sz w:val="22"/>
              </w:rPr>
            </w:pPr>
            <w:r>
              <w:rPr>
                <w:b/>
                <w:bCs/>
                <w:color w:val="000000"/>
                <w:sz w:val="22"/>
                <w:szCs w:val="22"/>
              </w:rPr>
              <w:t>Cap I. Algumas doenças infecciosas e parasitárias</w:t>
            </w:r>
          </w:p>
        </w:tc>
        <w:tc>
          <w:tcPr>
            <w:tcW w:w="758" w:type="dxa"/>
            <w:tcBorders>
              <w:top w:val="single" w:sz="4" w:space="0" w:color="00000A"/>
              <w:bottom w:val="single" w:sz="4" w:space="0" w:color="00000A"/>
              <w:insideH w:val="single" w:sz="4" w:space="0" w:color="00000A"/>
            </w:tcBorders>
            <w:shd w:color="auto" w:fill="E6EED5" w:val="clear"/>
          </w:tcPr>
          <w:p>
            <w:pPr>
              <w:pStyle w:val="Normal"/>
              <w:spacing w:lineRule="auto" w:line="360"/>
              <w:rPr>
                <w:color w:val="000000"/>
                <w:sz w:val="22"/>
              </w:rPr>
            </w:pPr>
            <w:r>
              <w:rPr>
                <w:color w:val="000000"/>
                <w:sz w:val="22"/>
                <w:szCs w:val="22"/>
              </w:rPr>
              <w:t>5,8</w:t>
            </w:r>
          </w:p>
        </w:tc>
        <w:tc>
          <w:tcPr>
            <w:tcW w:w="771" w:type="dxa"/>
            <w:tcBorders>
              <w:top w:val="single" w:sz="4" w:space="0" w:color="00000A"/>
              <w:bottom w:val="single" w:sz="4" w:space="0" w:color="00000A"/>
              <w:insideH w:val="single" w:sz="4" w:space="0" w:color="00000A"/>
            </w:tcBorders>
            <w:shd w:color="auto" w:fill="E6EED5" w:val="clear"/>
          </w:tcPr>
          <w:p>
            <w:pPr>
              <w:pStyle w:val="Normal"/>
              <w:spacing w:lineRule="auto" w:line="360"/>
              <w:rPr>
                <w:color w:val="000000"/>
                <w:sz w:val="22"/>
              </w:rPr>
            </w:pPr>
            <w:r>
              <w:rPr>
                <w:color w:val="000000"/>
                <w:sz w:val="22"/>
                <w:szCs w:val="22"/>
              </w:rPr>
              <w:t>5,6</w:t>
            </w:r>
          </w:p>
        </w:tc>
        <w:tc>
          <w:tcPr>
            <w:tcW w:w="770" w:type="dxa"/>
            <w:tcBorders>
              <w:top w:val="single" w:sz="4" w:space="0" w:color="00000A"/>
              <w:bottom w:val="single" w:sz="4" w:space="0" w:color="00000A"/>
              <w:insideH w:val="single" w:sz="4" w:space="0" w:color="00000A"/>
            </w:tcBorders>
            <w:shd w:color="auto" w:fill="E6EED5" w:val="clear"/>
          </w:tcPr>
          <w:p>
            <w:pPr>
              <w:pStyle w:val="Normal"/>
              <w:spacing w:lineRule="auto" w:line="360"/>
              <w:rPr>
                <w:color w:val="000000"/>
                <w:sz w:val="22"/>
              </w:rPr>
            </w:pPr>
            <w:r>
              <w:rPr>
                <w:color w:val="000000"/>
                <w:sz w:val="22"/>
                <w:szCs w:val="22"/>
              </w:rPr>
              <w:t>5,3</w:t>
            </w:r>
          </w:p>
        </w:tc>
        <w:tc>
          <w:tcPr>
            <w:tcW w:w="771" w:type="dxa"/>
            <w:tcBorders>
              <w:top w:val="single" w:sz="4" w:space="0" w:color="00000A"/>
              <w:bottom w:val="single" w:sz="4" w:space="0" w:color="00000A"/>
              <w:insideH w:val="single" w:sz="4" w:space="0" w:color="00000A"/>
            </w:tcBorders>
            <w:shd w:color="auto" w:fill="E6EED5" w:val="clear"/>
          </w:tcPr>
          <w:p>
            <w:pPr>
              <w:pStyle w:val="Normal"/>
              <w:spacing w:lineRule="auto" w:line="360"/>
              <w:rPr>
                <w:color w:val="000000"/>
                <w:sz w:val="22"/>
              </w:rPr>
            </w:pPr>
            <w:r>
              <w:rPr>
                <w:color w:val="000000"/>
                <w:sz w:val="22"/>
                <w:szCs w:val="22"/>
              </w:rPr>
              <w:t>5,8</w:t>
            </w:r>
          </w:p>
        </w:tc>
        <w:tc>
          <w:tcPr>
            <w:tcW w:w="770" w:type="dxa"/>
            <w:tcBorders>
              <w:top w:val="single" w:sz="4" w:space="0" w:color="00000A"/>
              <w:bottom w:val="single" w:sz="4" w:space="0" w:color="00000A"/>
              <w:insideH w:val="single" w:sz="4" w:space="0" w:color="00000A"/>
            </w:tcBorders>
            <w:shd w:color="auto" w:fill="E6EED5" w:val="clear"/>
          </w:tcPr>
          <w:p>
            <w:pPr>
              <w:pStyle w:val="Normal"/>
              <w:spacing w:lineRule="auto" w:line="360"/>
              <w:rPr>
                <w:color w:val="000000"/>
                <w:sz w:val="22"/>
              </w:rPr>
            </w:pPr>
            <w:r>
              <w:rPr>
                <w:color w:val="000000"/>
                <w:sz w:val="22"/>
                <w:szCs w:val="22"/>
              </w:rPr>
              <w:t>5,7</w:t>
            </w:r>
          </w:p>
        </w:tc>
        <w:tc>
          <w:tcPr>
            <w:tcW w:w="755" w:type="dxa"/>
            <w:tcBorders>
              <w:top w:val="single" w:sz="4" w:space="0" w:color="00000A"/>
              <w:bottom w:val="single" w:sz="4" w:space="0" w:color="00000A"/>
              <w:insideH w:val="single" w:sz="4" w:space="0" w:color="00000A"/>
            </w:tcBorders>
            <w:shd w:color="auto" w:fill="E6EED5" w:val="clear"/>
          </w:tcPr>
          <w:p>
            <w:pPr>
              <w:pStyle w:val="Normal"/>
              <w:spacing w:lineRule="auto" w:line="360"/>
              <w:rPr>
                <w:color w:val="000000"/>
                <w:sz w:val="22"/>
              </w:rPr>
            </w:pPr>
            <w:r>
              <w:rPr>
                <w:color w:val="000000"/>
                <w:sz w:val="22"/>
                <w:szCs w:val="22"/>
              </w:rPr>
              <w:t>5,7</w:t>
            </w:r>
          </w:p>
        </w:tc>
      </w:tr>
      <w:tr>
        <w:trPr>
          <w:trHeight w:val="300" w:hRule="atLeast"/>
        </w:trPr>
        <w:tc>
          <w:tcPr>
            <w:tcW w:w="4567"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II. Neoplasias [Tumores]</w:t>
            </w:r>
          </w:p>
        </w:tc>
        <w:tc>
          <w:tcPr>
            <w:tcW w:w="758"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6,7</w:t>
            </w:r>
          </w:p>
        </w:tc>
        <w:tc>
          <w:tcPr>
            <w:tcW w:w="77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6,5</w:t>
            </w:r>
          </w:p>
        </w:tc>
        <w:tc>
          <w:tcPr>
            <w:tcW w:w="770"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7,0</w:t>
            </w:r>
          </w:p>
        </w:tc>
        <w:tc>
          <w:tcPr>
            <w:tcW w:w="77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7,4</w:t>
            </w:r>
          </w:p>
        </w:tc>
        <w:tc>
          <w:tcPr>
            <w:tcW w:w="770"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7,7</w:t>
            </w:r>
          </w:p>
        </w:tc>
        <w:tc>
          <w:tcPr>
            <w:tcW w:w="75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7,8</w:t>
            </w:r>
          </w:p>
        </w:tc>
      </w:tr>
      <w:tr>
        <w:trPr>
          <w:trHeight w:val="463" w:hRule="atLeast"/>
        </w:trPr>
        <w:tc>
          <w:tcPr>
            <w:tcW w:w="4567" w:type="dxa"/>
            <w:tcBorders>
              <w:top w:val="single" w:sz="4" w:space="0" w:color="00000A"/>
              <w:bottom w:val="single" w:sz="4" w:space="0" w:color="00000A"/>
              <w:insideH w:val="single" w:sz="4" w:space="0" w:color="00000A"/>
            </w:tcBorders>
            <w:shd w:color="auto" w:fill="E6EED5" w:val="clear"/>
          </w:tcPr>
          <w:p>
            <w:pPr>
              <w:pStyle w:val="Normal"/>
              <w:spacing w:lineRule="auto" w:line="360"/>
              <w:rPr>
                <w:b/>
                <w:b/>
                <w:bCs/>
                <w:color w:val="000000"/>
                <w:sz w:val="22"/>
              </w:rPr>
            </w:pPr>
            <w:r>
              <w:rPr>
                <w:b/>
                <w:bCs/>
                <w:color w:val="000000"/>
                <w:sz w:val="22"/>
                <w:szCs w:val="22"/>
              </w:rPr>
              <w:t>Cap V. Transtornos mentais e comportamentais</w:t>
            </w:r>
          </w:p>
        </w:tc>
        <w:tc>
          <w:tcPr>
            <w:tcW w:w="758" w:type="dxa"/>
            <w:tcBorders>
              <w:top w:val="single" w:sz="4" w:space="0" w:color="00000A"/>
              <w:bottom w:val="single" w:sz="4" w:space="0" w:color="00000A"/>
              <w:insideH w:val="single" w:sz="4" w:space="0" w:color="00000A"/>
            </w:tcBorders>
            <w:shd w:color="auto" w:fill="E6EED5" w:val="clear"/>
          </w:tcPr>
          <w:p>
            <w:pPr>
              <w:pStyle w:val="Normal"/>
              <w:spacing w:lineRule="auto" w:line="360"/>
              <w:rPr>
                <w:color w:val="000000"/>
                <w:sz w:val="22"/>
              </w:rPr>
            </w:pPr>
            <w:r>
              <w:rPr>
                <w:color w:val="000000"/>
                <w:sz w:val="22"/>
                <w:szCs w:val="22"/>
              </w:rPr>
              <w:t>9,1</w:t>
            </w:r>
          </w:p>
        </w:tc>
        <w:tc>
          <w:tcPr>
            <w:tcW w:w="771" w:type="dxa"/>
            <w:tcBorders>
              <w:top w:val="single" w:sz="4" w:space="0" w:color="00000A"/>
              <w:bottom w:val="single" w:sz="4" w:space="0" w:color="00000A"/>
              <w:insideH w:val="single" w:sz="4" w:space="0" w:color="00000A"/>
            </w:tcBorders>
            <w:shd w:color="auto" w:fill="E6EED5" w:val="clear"/>
          </w:tcPr>
          <w:p>
            <w:pPr>
              <w:pStyle w:val="Normal"/>
              <w:spacing w:lineRule="auto" w:line="360"/>
              <w:rPr>
                <w:color w:val="000000"/>
                <w:sz w:val="22"/>
              </w:rPr>
            </w:pPr>
            <w:r>
              <w:rPr>
                <w:color w:val="000000"/>
                <w:sz w:val="22"/>
                <w:szCs w:val="22"/>
              </w:rPr>
              <w:t>8,9</w:t>
            </w:r>
          </w:p>
        </w:tc>
        <w:tc>
          <w:tcPr>
            <w:tcW w:w="770" w:type="dxa"/>
            <w:tcBorders>
              <w:top w:val="single" w:sz="4" w:space="0" w:color="00000A"/>
              <w:bottom w:val="single" w:sz="4" w:space="0" w:color="00000A"/>
              <w:insideH w:val="single" w:sz="4" w:space="0" w:color="00000A"/>
            </w:tcBorders>
            <w:shd w:color="auto" w:fill="E6EED5" w:val="clear"/>
          </w:tcPr>
          <w:p>
            <w:pPr>
              <w:pStyle w:val="Normal"/>
              <w:spacing w:lineRule="auto" w:line="360"/>
              <w:rPr>
                <w:color w:val="000000"/>
                <w:sz w:val="22"/>
              </w:rPr>
            </w:pPr>
            <w:r>
              <w:rPr>
                <w:color w:val="000000"/>
                <w:sz w:val="22"/>
                <w:szCs w:val="22"/>
              </w:rPr>
              <w:t>8,6</w:t>
            </w:r>
          </w:p>
        </w:tc>
        <w:tc>
          <w:tcPr>
            <w:tcW w:w="771" w:type="dxa"/>
            <w:tcBorders>
              <w:top w:val="single" w:sz="4" w:space="0" w:color="00000A"/>
              <w:bottom w:val="single" w:sz="4" w:space="0" w:color="00000A"/>
              <w:insideH w:val="single" w:sz="4" w:space="0" w:color="00000A"/>
            </w:tcBorders>
            <w:shd w:color="auto" w:fill="E6EED5" w:val="clear"/>
          </w:tcPr>
          <w:p>
            <w:pPr>
              <w:pStyle w:val="Normal"/>
              <w:spacing w:lineRule="auto" w:line="360"/>
              <w:rPr>
                <w:color w:val="000000"/>
                <w:sz w:val="22"/>
              </w:rPr>
            </w:pPr>
            <w:r>
              <w:rPr>
                <w:color w:val="000000"/>
                <w:sz w:val="22"/>
                <w:szCs w:val="22"/>
              </w:rPr>
              <w:t>7,9</w:t>
            </w:r>
          </w:p>
        </w:tc>
        <w:tc>
          <w:tcPr>
            <w:tcW w:w="770" w:type="dxa"/>
            <w:tcBorders>
              <w:top w:val="single" w:sz="4" w:space="0" w:color="00000A"/>
              <w:bottom w:val="single" w:sz="4" w:space="0" w:color="00000A"/>
              <w:insideH w:val="single" w:sz="4" w:space="0" w:color="00000A"/>
            </w:tcBorders>
            <w:shd w:color="auto" w:fill="E6EED5" w:val="clear"/>
          </w:tcPr>
          <w:p>
            <w:pPr>
              <w:pStyle w:val="Normal"/>
              <w:spacing w:lineRule="auto" w:line="360"/>
              <w:rPr>
                <w:color w:val="000000"/>
                <w:sz w:val="22"/>
              </w:rPr>
            </w:pPr>
            <w:r>
              <w:rPr>
                <w:color w:val="000000"/>
                <w:sz w:val="22"/>
                <w:szCs w:val="22"/>
              </w:rPr>
              <w:t>7,4</w:t>
            </w:r>
          </w:p>
        </w:tc>
        <w:tc>
          <w:tcPr>
            <w:tcW w:w="755" w:type="dxa"/>
            <w:tcBorders>
              <w:top w:val="single" w:sz="4" w:space="0" w:color="00000A"/>
              <w:bottom w:val="single" w:sz="4" w:space="0" w:color="00000A"/>
              <w:insideH w:val="single" w:sz="4" w:space="0" w:color="00000A"/>
            </w:tcBorders>
            <w:shd w:color="auto" w:fill="E6EED5" w:val="clear"/>
          </w:tcPr>
          <w:p>
            <w:pPr>
              <w:pStyle w:val="Normal"/>
              <w:spacing w:lineRule="auto" w:line="360"/>
              <w:rPr>
                <w:color w:val="000000"/>
                <w:sz w:val="22"/>
              </w:rPr>
            </w:pPr>
            <w:r>
              <w:rPr>
                <w:color w:val="000000"/>
                <w:sz w:val="22"/>
                <w:szCs w:val="22"/>
              </w:rPr>
              <w:t>7,7</w:t>
            </w:r>
          </w:p>
        </w:tc>
      </w:tr>
      <w:tr>
        <w:trPr>
          <w:trHeight w:val="300" w:hRule="atLeast"/>
        </w:trPr>
        <w:tc>
          <w:tcPr>
            <w:tcW w:w="4567"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IX. Doenças do aparelho circulatório</w:t>
            </w:r>
          </w:p>
        </w:tc>
        <w:tc>
          <w:tcPr>
            <w:tcW w:w="758"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11,7</w:t>
            </w:r>
          </w:p>
        </w:tc>
        <w:tc>
          <w:tcPr>
            <w:tcW w:w="77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11,7</w:t>
            </w:r>
          </w:p>
        </w:tc>
        <w:tc>
          <w:tcPr>
            <w:tcW w:w="770"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11,3</w:t>
            </w:r>
          </w:p>
        </w:tc>
        <w:tc>
          <w:tcPr>
            <w:tcW w:w="77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10,7</w:t>
            </w:r>
          </w:p>
        </w:tc>
        <w:tc>
          <w:tcPr>
            <w:tcW w:w="770"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10,4</w:t>
            </w:r>
          </w:p>
        </w:tc>
        <w:tc>
          <w:tcPr>
            <w:tcW w:w="75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10,9</w:t>
            </w:r>
          </w:p>
        </w:tc>
      </w:tr>
      <w:tr>
        <w:trPr>
          <w:trHeight w:val="300" w:hRule="atLeast"/>
        </w:trPr>
        <w:tc>
          <w:tcPr>
            <w:tcW w:w="4567" w:type="dxa"/>
            <w:tcBorders>
              <w:top w:val="single" w:sz="4" w:space="0" w:color="00000A"/>
              <w:bottom w:val="single" w:sz="4" w:space="0" w:color="00000A"/>
              <w:insideH w:val="single" w:sz="4" w:space="0" w:color="00000A"/>
            </w:tcBorders>
            <w:shd w:color="auto" w:fill="E6EED5" w:val="clear"/>
          </w:tcPr>
          <w:p>
            <w:pPr>
              <w:pStyle w:val="Normal"/>
              <w:spacing w:lineRule="auto" w:line="360"/>
              <w:rPr>
                <w:b/>
                <w:b/>
                <w:bCs/>
                <w:color w:val="000000"/>
                <w:sz w:val="22"/>
              </w:rPr>
            </w:pPr>
            <w:r>
              <w:rPr>
                <w:b/>
                <w:bCs/>
                <w:color w:val="000000"/>
                <w:sz w:val="22"/>
                <w:szCs w:val="22"/>
              </w:rPr>
              <w:t>Cap X. Doenças do aparelho respiratório</w:t>
            </w:r>
          </w:p>
        </w:tc>
        <w:tc>
          <w:tcPr>
            <w:tcW w:w="758" w:type="dxa"/>
            <w:tcBorders>
              <w:top w:val="single" w:sz="4" w:space="0" w:color="00000A"/>
              <w:bottom w:val="single" w:sz="4" w:space="0" w:color="00000A"/>
              <w:insideH w:val="single" w:sz="4" w:space="0" w:color="00000A"/>
            </w:tcBorders>
            <w:shd w:color="auto" w:fill="E6EED5" w:val="clear"/>
          </w:tcPr>
          <w:p>
            <w:pPr>
              <w:pStyle w:val="Normal"/>
              <w:spacing w:lineRule="auto" w:line="360"/>
              <w:rPr>
                <w:color w:val="000000"/>
                <w:sz w:val="22"/>
              </w:rPr>
            </w:pPr>
            <w:r>
              <w:rPr>
                <w:color w:val="000000"/>
                <w:sz w:val="22"/>
                <w:szCs w:val="22"/>
              </w:rPr>
              <w:t>8,8</w:t>
            </w:r>
          </w:p>
        </w:tc>
        <w:tc>
          <w:tcPr>
            <w:tcW w:w="771" w:type="dxa"/>
            <w:tcBorders>
              <w:top w:val="single" w:sz="4" w:space="0" w:color="00000A"/>
              <w:bottom w:val="single" w:sz="4" w:space="0" w:color="00000A"/>
              <w:insideH w:val="single" w:sz="4" w:space="0" w:color="00000A"/>
            </w:tcBorders>
            <w:shd w:color="auto" w:fill="E6EED5" w:val="clear"/>
          </w:tcPr>
          <w:p>
            <w:pPr>
              <w:pStyle w:val="Normal"/>
              <w:spacing w:lineRule="auto" w:line="360"/>
              <w:rPr>
                <w:color w:val="000000"/>
                <w:sz w:val="22"/>
              </w:rPr>
            </w:pPr>
            <w:r>
              <w:rPr>
                <w:color w:val="000000"/>
                <w:sz w:val="22"/>
                <w:szCs w:val="22"/>
              </w:rPr>
              <w:t>8,4</w:t>
            </w:r>
          </w:p>
        </w:tc>
        <w:tc>
          <w:tcPr>
            <w:tcW w:w="770" w:type="dxa"/>
            <w:tcBorders>
              <w:top w:val="single" w:sz="4" w:space="0" w:color="00000A"/>
              <w:bottom w:val="single" w:sz="4" w:space="0" w:color="00000A"/>
              <w:insideH w:val="single" w:sz="4" w:space="0" w:color="00000A"/>
            </w:tcBorders>
            <w:shd w:color="auto" w:fill="E6EED5" w:val="clear"/>
          </w:tcPr>
          <w:p>
            <w:pPr>
              <w:pStyle w:val="Normal"/>
              <w:spacing w:lineRule="auto" w:line="360"/>
              <w:rPr>
                <w:color w:val="000000"/>
                <w:sz w:val="22"/>
              </w:rPr>
            </w:pPr>
            <w:r>
              <w:rPr>
                <w:color w:val="000000"/>
                <w:sz w:val="22"/>
                <w:szCs w:val="22"/>
              </w:rPr>
              <w:t>8,0</w:t>
            </w:r>
          </w:p>
        </w:tc>
        <w:tc>
          <w:tcPr>
            <w:tcW w:w="771" w:type="dxa"/>
            <w:tcBorders>
              <w:top w:val="single" w:sz="4" w:space="0" w:color="00000A"/>
              <w:bottom w:val="single" w:sz="4" w:space="0" w:color="00000A"/>
              <w:insideH w:val="single" w:sz="4" w:space="0" w:color="00000A"/>
            </w:tcBorders>
            <w:shd w:color="auto" w:fill="E6EED5" w:val="clear"/>
          </w:tcPr>
          <w:p>
            <w:pPr>
              <w:pStyle w:val="Normal"/>
              <w:spacing w:lineRule="auto" w:line="360"/>
              <w:rPr>
                <w:color w:val="000000"/>
                <w:sz w:val="22"/>
              </w:rPr>
            </w:pPr>
            <w:r>
              <w:rPr>
                <w:color w:val="000000"/>
                <w:sz w:val="22"/>
                <w:szCs w:val="22"/>
              </w:rPr>
              <w:t>7,4</w:t>
            </w:r>
          </w:p>
        </w:tc>
        <w:tc>
          <w:tcPr>
            <w:tcW w:w="770" w:type="dxa"/>
            <w:tcBorders>
              <w:top w:val="single" w:sz="4" w:space="0" w:color="00000A"/>
              <w:bottom w:val="single" w:sz="4" w:space="0" w:color="00000A"/>
              <w:insideH w:val="single" w:sz="4" w:space="0" w:color="00000A"/>
            </w:tcBorders>
            <w:shd w:color="auto" w:fill="E6EED5" w:val="clear"/>
          </w:tcPr>
          <w:p>
            <w:pPr>
              <w:pStyle w:val="Normal"/>
              <w:spacing w:lineRule="auto" w:line="360"/>
              <w:rPr>
                <w:color w:val="000000"/>
                <w:sz w:val="22"/>
              </w:rPr>
            </w:pPr>
            <w:r>
              <w:rPr>
                <w:color w:val="000000"/>
                <w:sz w:val="22"/>
                <w:szCs w:val="22"/>
              </w:rPr>
              <w:t>7,1</w:t>
            </w:r>
          </w:p>
        </w:tc>
        <w:tc>
          <w:tcPr>
            <w:tcW w:w="755" w:type="dxa"/>
            <w:tcBorders>
              <w:top w:val="single" w:sz="4" w:space="0" w:color="00000A"/>
              <w:bottom w:val="single" w:sz="4" w:space="0" w:color="00000A"/>
              <w:insideH w:val="single" w:sz="4" w:space="0" w:color="00000A"/>
            </w:tcBorders>
            <w:shd w:color="auto" w:fill="E6EED5" w:val="clear"/>
          </w:tcPr>
          <w:p>
            <w:pPr>
              <w:pStyle w:val="Normal"/>
              <w:spacing w:lineRule="auto" w:line="360"/>
              <w:rPr>
                <w:color w:val="000000"/>
                <w:sz w:val="22"/>
              </w:rPr>
            </w:pPr>
            <w:r>
              <w:rPr>
                <w:color w:val="000000"/>
                <w:sz w:val="22"/>
                <w:szCs w:val="22"/>
              </w:rPr>
              <w:t>7,5</w:t>
            </w:r>
          </w:p>
        </w:tc>
      </w:tr>
      <w:tr>
        <w:trPr>
          <w:trHeight w:val="300" w:hRule="atLeast"/>
        </w:trPr>
        <w:tc>
          <w:tcPr>
            <w:tcW w:w="4567"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XI. Doenças do aparelho digestivo</w:t>
            </w:r>
          </w:p>
        </w:tc>
        <w:tc>
          <w:tcPr>
            <w:tcW w:w="758"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13,7</w:t>
            </w:r>
          </w:p>
        </w:tc>
        <w:tc>
          <w:tcPr>
            <w:tcW w:w="77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14,4</w:t>
            </w:r>
          </w:p>
        </w:tc>
        <w:tc>
          <w:tcPr>
            <w:tcW w:w="770"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14,1</w:t>
            </w:r>
          </w:p>
        </w:tc>
        <w:tc>
          <w:tcPr>
            <w:tcW w:w="77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14,2</w:t>
            </w:r>
          </w:p>
        </w:tc>
        <w:tc>
          <w:tcPr>
            <w:tcW w:w="770"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14,0</w:t>
            </w:r>
          </w:p>
        </w:tc>
        <w:tc>
          <w:tcPr>
            <w:tcW w:w="75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13,6</w:t>
            </w:r>
          </w:p>
        </w:tc>
      </w:tr>
      <w:tr>
        <w:trPr>
          <w:trHeight w:val="300" w:hRule="atLeast"/>
        </w:trPr>
        <w:tc>
          <w:tcPr>
            <w:tcW w:w="4567"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XIII. Doenças do sistema osteomuscular e do tecido conjuntivo</w:t>
            </w:r>
          </w:p>
        </w:tc>
        <w:tc>
          <w:tcPr>
            <w:tcW w:w="758"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5,4</w:t>
            </w:r>
          </w:p>
        </w:tc>
        <w:tc>
          <w:tcPr>
            <w:tcW w:w="77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5,8</w:t>
            </w:r>
          </w:p>
        </w:tc>
        <w:tc>
          <w:tcPr>
            <w:tcW w:w="770"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5,9</w:t>
            </w:r>
          </w:p>
        </w:tc>
        <w:tc>
          <w:tcPr>
            <w:tcW w:w="77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5,7</w:t>
            </w:r>
          </w:p>
        </w:tc>
        <w:tc>
          <w:tcPr>
            <w:tcW w:w="770"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5,7</w:t>
            </w:r>
          </w:p>
        </w:tc>
        <w:tc>
          <w:tcPr>
            <w:tcW w:w="75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5,3</w:t>
            </w:r>
          </w:p>
        </w:tc>
      </w:tr>
      <w:tr>
        <w:trPr>
          <w:trHeight w:val="300" w:hRule="atLeast"/>
        </w:trPr>
        <w:tc>
          <w:tcPr>
            <w:tcW w:w="4567"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XIV. Doenças do aparelho geniturinário</w:t>
            </w:r>
          </w:p>
        </w:tc>
        <w:tc>
          <w:tcPr>
            <w:tcW w:w="758"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5,1</w:t>
            </w:r>
          </w:p>
        </w:tc>
        <w:tc>
          <w:tcPr>
            <w:tcW w:w="77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5,4</w:t>
            </w:r>
          </w:p>
        </w:tc>
        <w:tc>
          <w:tcPr>
            <w:tcW w:w="770"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5,4</w:t>
            </w:r>
          </w:p>
        </w:tc>
        <w:tc>
          <w:tcPr>
            <w:tcW w:w="77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5,7</w:t>
            </w:r>
          </w:p>
        </w:tc>
        <w:tc>
          <w:tcPr>
            <w:tcW w:w="770"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5,9</w:t>
            </w:r>
          </w:p>
        </w:tc>
        <w:tc>
          <w:tcPr>
            <w:tcW w:w="75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5,7</w:t>
            </w:r>
          </w:p>
        </w:tc>
      </w:tr>
      <w:tr>
        <w:trPr>
          <w:trHeight w:val="300" w:hRule="atLeast"/>
        </w:trPr>
        <w:tc>
          <w:tcPr>
            <w:tcW w:w="4567"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XIX. Lesões, envenenamentos e algumas outras consequências de causas externas</w:t>
            </w:r>
          </w:p>
        </w:tc>
        <w:tc>
          <w:tcPr>
            <w:tcW w:w="758"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20,9</w:t>
            </w:r>
          </w:p>
        </w:tc>
        <w:tc>
          <w:tcPr>
            <w:tcW w:w="77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21,1</w:t>
            </w:r>
          </w:p>
        </w:tc>
        <w:tc>
          <w:tcPr>
            <w:tcW w:w="770"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21,7</w:t>
            </w:r>
          </w:p>
        </w:tc>
        <w:tc>
          <w:tcPr>
            <w:tcW w:w="77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22,3</w:t>
            </w:r>
          </w:p>
        </w:tc>
        <w:tc>
          <w:tcPr>
            <w:tcW w:w="770"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22,3</w:t>
            </w:r>
          </w:p>
        </w:tc>
        <w:tc>
          <w:tcPr>
            <w:tcW w:w="75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22,5</w:t>
            </w:r>
          </w:p>
        </w:tc>
      </w:tr>
      <w:tr>
        <w:trPr>
          <w:trHeight w:val="300" w:hRule="atLeast"/>
        </w:trPr>
        <w:tc>
          <w:tcPr>
            <w:tcW w:w="4567" w:type="dxa"/>
            <w:tcBorders>
              <w:top w:val="single" w:sz="4" w:space="0" w:color="00000A"/>
              <w:bottom w:val="single" w:sz="4" w:space="0" w:color="00000A"/>
              <w:insideH w:val="single" w:sz="4" w:space="0" w:color="00000A"/>
            </w:tcBorders>
            <w:shd w:color="auto" w:fill="FFFFFF" w:val="clear"/>
          </w:tcPr>
          <w:p>
            <w:pPr>
              <w:pStyle w:val="Normal"/>
              <w:spacing w:lineRule="auto" w:line="360"/>
              <w:rPr>
                <w:b/>
                <w:b/>
                <w:bCs/>
                <w:color w:val="000000"/>
                <w:sz w:val="22"/>
              </w:rPr>
            </w:pPr>
            <w:r>
              <w:rPr>
                <w:b/>
                <w:bCs/>
                <w:color w:val="000000"/>
                <w:sz w:val="22"/>
                <w:szCs w:val="22"/>
              </w:rPr>
              <w:t>Cap XXI. Fatores que influenciam o estado de saúde e o contato com os serviços de saúde</w:t>
            </w:r>
          </w:p>
        </w:tc>
        <w:tc>
          <w:tcPr>
            <w:tcW w:w="758"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3,7</w:t>
            </w:r>
          </w:p>
        </w:tc>
        <w:tc>
          <w:tcPr>
            <w:tcW w:w="77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3,3</w:t>
            </w:r>
          </w:p>
        </w:tc>
        <w:tc>
          <w:tcPr>
            <w:tcW w:w="770"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3,2</w:t>
            </w:r>
          </w:p>
        </w:tc>
        <w:tc>
          <w:tcPr>
            <w:tcW w:w="771"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3,3</w:t>
            </w:r>
          </w:p>
        </w:tc>
        <w:tc>
          <w:tcPr>
            <w:tcW w:w="770"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3,5</w:t>
            </w:r>
          </w:p>
        </w:tc>
        <w:tc>
          <w:tcPr>
            <w:tcW w:w="755" w:type="dxa"/>
            <w:tcBorders>
              <w:top w:val="single" w:sz="4" w:space="0" w:color="00000A"/>
              <w:bottom w:val="single" w:sz="4" w:space="0" w:color="00000A"/>
              <w:insideH w:val="single" w:sz="4" w:space="0" w:color="00000A"/>
            </w:tcBorders>
            <w:shd w:color="auto" w:fill="FFFFFF" w:val="clear"/>
          </w:tcPr>
          <w:p>
            <w:pPr>
              <w:pStyle w:val="Normal"/>
              <w:spacing w:lineRule="auto" w:line="360"/>
              <w:rPr>
                <w:color w:val="000000"/>
                <w:sz w:val="22"/>
              </w:rPr>
            </w:pPr>
            <w:r>
              <w:rPr>
                <w:color w:val="000000"/>
                <w:sz w:val="22"/>
                <w:szCs w:val="22"/>
              </w:rPr>
              <w:t>3,2</w:t>
            </w:r>
          </w:p>
        </w:tc>
      </w:tr>
    </w:tbl>
    <w:p>
      <w:pPr>
        <w:pStyle w:val="Normal"/>
        <w:spacing w:lineRule="auto" w:line="360" w:before="0" w:after="150"/>
        <w:rPr>
          <w:color w:val="000000"/>
          <w:sz w:val="22"/>
          <w:szCs w:val="22"/>
        </w:rPr>
      </w:pPr>
      <w:r>
        <w:rPr>
          <w:rFonts w:cs="Arial"/>
          <w:color w:val="000000"/>
          <w:sz w:val="22"/>
          <w:szCs w:val="22"/>
          <w:highlight w:val="white"/>
        </w:rPr>
        <w:t xml:space="preserve">Fonte Ministério da Saúde - Sistema de Informações Hospitalares do SUS (SIH/SUS) </w:t>
      </w:r>
    </w:p>
    <w:p>
      <w:pPr>
        <w:pStyle w:val="Normal"/>
        <w:spacing w:lineRule="auto" w:line="360" w:before="0" w:after="150"/>
        <w:rPr>
          <w:color w:val="000000"/>
        </w:rPr>
      </w:pPr>
      <w:r>
        <w:rPr>
          <w:rFonts w:cs="Arial"/>
          <w:color w:val="000000"/>
          <w:highlight w:val="white"/>
        </w:rPr>
        <w:t>Considerações finais</w:t>
      </w:r>
    </w:p>
    <w:p>
      <w:pPr>
        <w:pStyle w:val="Normal"/>
        <w:spacing w:lineRule="auto" w:line="360" w:before="0" w:after="150"/>
        <w:rPr>
          <w:color w:val="000000"/>
        </w:rPr>
      </w:pPr>
      <w:r>
        <w:rPr>
          <w:rFonts w:cs="Arial"/>
          <w:color w:val="000000"/>
          <w:highlight w:val="white"/>
        </w:rPr>
        <w:t xml:space="preserve">Com isso, os dados aqui apresentados visam contribuir na continuidade da construção de estratégias em resposta às demandas de saúde dos homens, aos pontos de atenção e  ao cuidado em saúde em nosso estado,  constituindo-se portanto, como base para a implantação e  implementação da Política Estadual de Atenção Integral à Saúde do Homem. </w:t>
      </w:r>
    </w:p>
    <w:p>
      <w:pPr>
        <w:pStyle w:val="Normal"/>
        <w:spacing w:lineRule="auto" w:line="360" w:before="0" w:after="150"/>
        <w:rPr>
          <w:rFonts w:cs="Arial"/>
          <w:color w:val="000000"/>
          <w:highlight w:val="white"/>
        </w:rPr>
      </w:pPr>
      <w:r>
        <w:rPr>
          <w:rFonts w:cs="Arial"/>
          <w:color w:val="000000"/>
          <w:highlight w:val="white"/>
        </w:rPr>
        <w:t>Sabe-se, e os dados demonstrados neste documento confirmam, que para homens  na faixa etária de 20 a 59 anos, a morbimortalidade  por causas externas é uma realidade em Santa Catarina, portanto agravos evitáveis.</w:t>
      </w:r>
    </w:p>
    <w:p>
      <w:pPr>
        <w:pStyle w:val="Normal"/>
        <w:spacing w:lineRule="auto" w:line="360" w:before="0" w:after="150"/>
        <w:rPr>
          <w:color w:val="000000"/>
        </w:rPr>
      </w:pPr>
      <w:r>
        <w:rPr>
          <w:rFonts w:cs="Arial"/>
          <w:color w:val="000000"/>
          <w:highlight w:val="white"/>
        </w:rPr>
        <w:t xml:space="preserve">Contudo, fomentar a construção da Política de Atenção Integral à Saúde do Homem, por meio do diagnóstico e perfil epidemiológico, exige estratégias e ações buscando favorecer a demanda dos homens aos serviços de saúde, tais como: estabelecimento de metas visando  contribuir para a redução da morbimortalidade, por meio do enfrentamento dos fatores de risco; incentivar, coordenar e dar subsídios aos técnicos e gestores dos municípios; promover articulações interinstitucionais e intersetoriais por meio de mudanças de valores, promovendo novas formas de pensar e agir, levando os benefícios deste processo à gestão municipal, além de constituir parceria com a Rede de Atenção à Saúde – RAS. </w:t>
      </w:r>
    </w:p>
    <w:p>
      <w:pPr>
        <w:pStyle w:val="Normal"/>
        <w:spacing w:lineRule="auto" w:line="360" w:before="0" w:after="150"/>
        <w:rPr>
          <w:rFonts w:cs="Arial"/>
          <w:color w:val="000000"/>
          <w:highlight w:val="white"/>
        </w:rPr>
      </w:pPr>
      <w:r>
        <w:rPr>
          <w:rFonts w:cs="Arial"/>
          <w:color w:val="000000"/>
          <w:highlight w:val="white"/>
        </w:rPr>
        <w:t xml:space="preserve">Assim, a inserção de estratégias e ações no Plano Estadual de Saúde (PES) e Plano Anual de Saúde (PAS) juntamente com o Plano Municipal de Saúde, torna-se  importante resposta dos profissionais de saúde, gestão e demais atores às demandas da população masculina, através de condutas e ações preventivas e assistenciais específicas. </w:t>
      </w:r>
    </w:p>
    <w:p>
      <w:pPr>
        <w:pStyle w:val="Normal"/>
        <w:spacing w:lineRule="auto" w:line="360" w:before="0" w:after="150"/>
        <w:rPr>
          <w:rFonts w:cs="Arial"/>
          <w:color w:val="000000"/>
          <w:highlight w:val="white"/>
        </w:rPr>
      </w:pPr>
      <w:r>
        <w:rPr>
          <w:rFonts w:cs="Arial"/>
          <w:color w:val="000000"/>
          <w:highlight w:val="white"/>
        </w:rPr>
      </w:r>
    </w:p>
    <w:p>
      <w:pPr>
        <w:pStyle w:val="Normal"/>
        <w:spacing w:lineRule="auto" w:line="360" w:before="0" w:after="150"/>
        <w:rPr>
          <w:rFonts w:cs="Arial"/>
          <w:color w:val="000000"/>
          <w:highlight w:val="white"/>
        </w:rPr>
      </w:pPr>
      <w:r>
        <w:rPr>
          <w:rFonts w:cs="Arial"/>
          <w:color w:val="000000"/>
          <w:highlight w:val="white"/>
        </w:rPr>
        <w:t xml:space="preserve">                                                                       </w:t>
      </w:r>
      <w:r>
        <w:rPr>
          <w:rFonts w:cs="Arial"/>
          <w:color w:val="000000"/>
          <w:highlight w:val="white"/>
        </w:rPr>
        <w:t>Florianópolis,  Junho de 2017</w:t>
      </w:r>
    </w:p>
    <w:p>
      <w:pPr>
        <w:pStyle w:val="Normal"/>
        <w:spacing w:lineRule="auto" w:line="360" w:before="0" w:after="150"/>
        <w:rPr>
          <w:rFonts w:cs="Arial"/>
          <w:color w:val="000000"/>
          <w:highlight w:val="white"/>
        </w:rPr>
      </w:pPr>
      <w:r>
        <w:rPr>
          <w:rFonts w:cs="Arial"/>
          <w:color w:val="000000"/>
          <w:highlight w:val="white"/>
        </w:rPr>
      </w:r>
    </w:p>
    <w:p>
      <w:pPr>
        <w:pStyle w:val="Corpodetexto"/>
        <w:spacing w:lineRule="auto" w:line="360" w:before="0" w:after="0"/>
        <w:ind w:left="225" w:hanging="0"/>
        <w:rPr>
          <w:color w:val="000000"/>
        </w:rPr>
      </w:pPr>
      <w:r>
        <w:rPr>
          <w:color w:val="000000"/>
        </w:rPr>
        <w:t xml:space="preserve">                                                                                  </w:t>
      </w:r>
      <w:r>
        <w:rPr>
          <w:color w:val="000000"/>
        </w:rPr>
        <w:t>Sandra Barreto</w:t>
      </w:r>
    </w:p>
    <w:p>
      <w:pPr>
        <w:pStyle w:val="Corpodetexto"/>
        <w:spacing w:lineRule="auto" w:line="360" w:before="0" w:after="0"/>
        <w:ind w:left="225" w:hanging="0"/>
        <w:rPr>
          <w:color w:val="000000"/>
          <w:u w:val="single"/>
        </w:rPr>
      </w:pPr>
      <w:r>
        <w:rPr>
          <w:color w:val="000000"/>
        </w:rPr>
        <w:t xml:space="preserve">                                                              </w:t>
      </w:r>
      <w:r>
        <w:rPr>
          <w:color w:val="000000"/>
        </w:rPr>
        <w:t>Coordenadora da Saúde do Homem / GEABS</w:t>
      </w:r>
    </w:p>
    <w:p>
      <w:pPr>
        <w:pStyle w:val="Normal"/>
        <w:spacing w:lineRule="auto" w:line="360"/>
        <w:rPr>
          <w:color w:val="000000"/>
        </w:rPr>
      </w:pPr>
      <w:r>
        <w:rPr>
          <w:color w:val="000000"/>
        </w:rPr>
      </w:r>
    </w:p>
    <w:p>
      <w:pPr>
        <w:pStyle w:val="Normal"/>
        <w:spacing w:lineRule="auto" w:line="360"/>
        <w:rPr>
          <w:color w:val="000000"/>
        </w:rPr>
      </w:pPr>
      <w:r>
        <w:rPr>
          <w:color w:val="000000"/>
        </w:rPr>
      </w:r>
    </w:p>
    <w:p>
      <w:pPr>
        <w:pStyle w:val="Normal"/>
        <w:spacing w:lineRule="auto" w:line="360"/>
        <w:rPr>
          <w:color w:val="000000"/>
        </w:rPr>
      </w:pPr>
      <w:r>
        <w:rPr>
          <w:color w:val="000000"/>
        </w:rPr>
      </w:r>
    </w:p>
    <w:p>
      <w:pPr>
        <w:pStyle w:val="Normal"/>
        <w:spacing w:lineRule="auto" w:line="360"/>
        <w:rPr>
          <w:color w:val="000000"/>
        </w:rPr>
      </w:pPr>
      <w:r>
        <w:rPr>
          <w:color w:val="000000"/>
        </w:rPr>
      </w:r>
    </w:p>
    <w:p>
      <w:pPr>
        <w:pStyle w:val="Normal"/>
        <w:spacing w:lineRule="auto" w:line="360" w:before="0" w:after="150"/>
        <w:rPr/>
      </w:pPr>
      <w:r>
        <w:rPr/>
      </w:r>
    </w:p>
    <w:sectPr>
      <w:footerReference w:type="default" r:id="rId4"/>
      <w:type w:val="nextPage"/>
      <w:pgSz w:w="11906" w:h="16838"/>
      <w:pgMar w:left="1440" w:right="1411" w:header="0" w:top="1931" w:footer="708" w:bottom="1417" w:gutter="0"/>
      <w:pgNumType w:fmt="decimal"/>
      <w:formProt w:val="false"/>
      <w:textDirection w:val="lrTb"/>
      <w:docGrid w:type="default" w:linePitch="360"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Tahoma">
    <w:charset w:val="00"/>
    <w:family w:val="roman"/>
    <w:pitch w:val="variable"/>
  </w:font>
  <w:font w:name="Cambria">
    <w:charset w:val="00"/>
    <w:family w:val="roman"/>
    <w:pitch w:val="variable"/>
  </w:font>
  <w:font w:name="Arial Rounded MT Bold">
    <w:charset w:val="00"/>
    <w:family w:val="roman"/>
    <w:pitch w:val="variable"/>
  </w:font>
  <w:font w:name="OpenSymbol">
    <w:altName w:val="Arial Unicode MS"/>
    <w:charset w:val="00"/>
    <w:family w:val="roman"/>
    <w:pitch w:val="variable"/>
  </w:font>
  <w:font w:name="Arial">
    <w:charset w:val="00"/>
    <w:family w:val="roman"/>
    <w:pitch w:val="variable"/>
  </w:font>
  <w:font w:name="Arial">
    <w:altName w:val="Helvetica"/>
    <w:charset w:val="00"/>
    <w:family w:val="roman"/>
    <w:pitch w:val="variable"/>
  </w:font>
  <w:font w:name="Liberation Sans">
    <w:altName w:val="Arial"/>
    <w:charset w:val="00"/>
    <w:family w:val="swiss"/>
    <w:pitch w:val="variable"/>
  </w:font>
  <w:font w:name="TQGUZ W+ Syntax">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Bottom of Page)"/>
        <w:docPartUnique w:val="true"/>
      </w:docPartObj>
      <w:id w:val="1518127897"/>
    </w:sdtPr>
    <w:sdtContent>
      <w:p>
        <w:pPr>
          <w:pStyle w:val="Rodap"/>
          <w:jc w:val="right"/>
          <w:rPr/>
        </w:pPr>
        <w:r>
          <w:rPr/>
        </w:r>
      </w:p>
      <w:p>
        <w:pPr>
          <w:pStyle w:val="Rodap1"/>
          <w:jc w:val="center"/>
          <w:rPr/>
        </w:pPr>
        <w:r>
          <w:rPr/>
        </w:r>
      </w:p>
    </w:sdtContent>
  </w:sdt>
</w:ftr>
</file>

<file path=word/settings.xml><?xml version="1.0" encoding="utf-8"?>
<w:settings xmlns:w="http://schemas.openxmlformats.org/wordprocessingml/2006/main">
  <w:zoom w:percent="110"/>
  <w:defaultTabStop w:val="720"/>
  <w:compat/>
  <w:themeFontLang w:val="pt-B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szCs w:val="22"/>
        <w:lang w:val="pt-BR" w:eastAsia="pt-BR" w:bidi="ar-SA"/>
      </w:rPr>
    </w:rPrDefault>
    <w:pPrDefault>
      <w:pPr/>
    </w:pPrDefault>
  </w:docDefaults>
  <w:latentStyles w:defLockedState="0" w:defUIPriority="99" w:defSemiHidden="1" w:defUnhideWhenUsed="1" w:defQFormat="0" w:count="267">
    <w:lsdException w:name="Normal" w:locked="1" w:uiPriority="0" w:semiHidden="0" w:unhideWhenUsed="0" w:qFormat="1"/>
    <w:lsdException w:name="heading 1" w:locked="1" w:uiPriority="0" w:semiHidden="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semiHidden="0" w:unhideWhenUsed="0" w:qFormat="1"/>
    <w:lsdException w:name="heading 7" w:locked="1" w:uiPriority="0" w:qFormat="1"/>
    <w:lsdException w:name="heading 8" w:locked="1" w:uiPriority="0" w:qFormat="1"/>
    <w:lsdException w:name="heading 9" w:locked="1" w:uiPriority="0" w:qFormat="1"/>
    <w:lsdException w:name="toc 1" w:locked="1" w:uiPriority="0" w:semiHidden="0" w:unhideWhenUsed="0"/>
    <w:lsdException w:name="toc 2" w:locked="1" w:uiPriority="0" w:semiHidden="0" w:unhideWhenUsed="0"/>
    <w:lsdException w:name="toc 3" w:locked="1" w:uiPriority="0" w:semiHidden="0" w:unhideWhenUsed="0"/>
    <w:lsdException w:name="toc 4" w:locked="1" w:uiPriority="0" w:semiHidden="0" w:unhideWhenUsed="0"/>
    <w:lsdException w:name="toc 5" w:locked="1" w:uiPriority="0" w:semiHidden="0" w:unhideWhenUsed="0"/>
    <w:lsdException w:name="toc 6" w:locked="1" w:uiPriority="0" w:semiHidden="0" w:unhideWhenUsed="0"/>
    <w:lsdException w:name="toc 7" w:locked="1" w:uiPriority="0" w:semiHidden="0" w:unhideWhenUsed="0"/>
    <w:lsdException w:name="toc 8" w:locked="1" w:uiPriority="0" w:semiHidden="0" w:unhideWhenUsed="0"/>
    <w:lsdException w:name="toc 9" w:locked="1" w:uiPriority="0" w:semiHidden="0" w:unhideWhenUsed="0"/>
    <w:lsdException w:name="header" w:uiPriority="0"/>
    <w:lsdException w:name="caption" w:locked="1" w:uiPriority="0" w:qFormat="1"/>
    <w:lsdException w:name="Title" w:locked="1" w:uiPriority="0" w:semiHidden="0" w:unhideWhenUsed="0" w:qFormat="1"/>
    <w:lsdException w:name="Default Paragraph Font" w:locked="1" w:uiPriority="0" w:semiHidden="0" w:unhideWhenUsed="0"/>
    <w:lsdException w:name="Subtitle" w:locked="1" w:uiPriority="0" w:semiHidden="0" w:unhideWhenUsed="0" w:qFormat="1"/>
    <w:lsdException w:name="Strong" w:locked="1" w:semiHidden="0" w:unhideWhenUsed="0" w:qFormat="1"/>
    <w:lsdException w:name="Emphasis" w:locked="1" w:uiPriority="0" w:semiHidden="0" w:unhideWhenUsed="0" w:qFormat="1"/>
    <w:lsdException w:name="Table Grid" w:locked="1" w:uiPriority="0"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261491"/>
    <w:pPr>
      <w:widowControl/>
      <w:bidi w:val="0"/>
      <w:jc w:val="left"/>
    </w:pPr>
    <w:rPr>
      <w:rFonts w:ascii="Times New Roman" w:hAnsi="Times New Roman" w:eastAsia="Times New Roman" w:cs="Times New Roman"/>
      <w:color w:val="00000A"/>
      <w:sz w:val="24"/>
      <w:szCs w:val="24"/>
      <w:lang w:val="pt-BR" w:eastAsia="pt-BR" w:bidi="ar-SA"/>
    </w:rPr>
  </w:style>
  <w:style w:type="paragraph" w:styleId="Ttulo1" w:customStyle="1">
    <w:name w:val="Heading 1"/>
    <w:basedOn w:val="Ttulododocumento"/>
    <w:qFormat/>
    <w:rsid w:val="00cb5ab5"/>
    <w:pPr/>
    <w:rPr/>
  </w:style>
  <w:style w:type="paragraph" w:styleId="Ttulo3" w:customStyle="1">
    <w:name w:val="Heading 3"/>
    <w:basedOn w:val="Ttulododocumento"/>
    <w:qFormat/>
    <w:rsid w:val="00cb5ab5"/>
    <w:pPr/>
    <w:rPr/>
  </w:style>
  <w:style w:type="character" w:styleId="DefaultParagraphFont" w:default="1">
    <w:name w:val="Default Paragraph Font"/>
    <w:uiPriority w:val="1"/>
    <w:semiHidden/>
    <w:unhideWhenUsed/>
    <w:qFormat/>
    <w:rPr/>
  </w:style>
  <w:style w:type="character" w:styleId="Ttulo6Char" w:customStyle="1">
    <w:name w:val="Título 6 Char"/>
    <w:basedOn w:val="DefaultParagraphFont"/>
    <w:link w:val="Ttulo61"/>
    <w:uiPriority w:val="99"/>
    <w:semiHidden/>
    <w:qFormat/>
    <w:locked/>
    <w:rsid w:val="00261491"/>
    <w:rPr>
      <w:rFonts w:ascii="Calibri" w:hAnsi="Calibri" w:cs="Times New Roman"/>
      <w:b/>
      <w:bCs/>
    </w:rPr>
  </w:style>
  <w:style w:type="character" w:styleId="CabealhoChar" w:customStyle="1">
    <w:name w:val="Cabeçalho Char"/>
    <w:basedOn w:val="DefaultParagraphFont"/>
    <w:qFormat/>
    <w:locked/>
    <w:rsid w:val="00261491"/>
    <w:rPr>
      <w:rFonts w:cs="Times New Roman"/>
      <w:sz w:val="24"/>
      <w:szCs w:val="24"/>
    </w:rPr>
  </w:style>
  <w:style w:type="character" w:styleId="TextodebaloChar" w:customStyle="1">
    <w:name w:val="Texto de balão Char"/>
    <w:basedOn w:val="DefaultParagraphFont"/>
    <w:link w:val="Textodebalo"/>
    <w:uiPriority w:val="99"/>
    <w:semiHidden/>
    <w:qFormat/>
    <w:locked/>
    <w:rsid w:val="00261491"/>
    <w:rPr>
      <w:rFonts w:ascii="Tahoma" w:hAnsi="Tahoma" w:cs="Tahoma"/>
      <w:sz w:val="16"/>
      <w:szCs w:val="16"/>
    </w:rPr>
  </w:style>
  <w:style w:type="character" w:styleId="Strong">
    <w:name w:val="Strong"/>
    <w:basedOn w:val="DefaultParagraphFont"/>
    <w:uiPriority w:val="99"/>
    <w:qFormat/>
    <w:rsid w:val="002a6e87"/>
    <w:rPr>
      <w:rFonts w:cs="Times New Roman"/>
      <w:b/>
      <w:bCs/>
    </w:rPr>
  </w:style>
  <w:style w:type="character" w:styleId="RodapChar" w:customStyle="1">
    <w:name w:val="Rodapé Char"/>
    <w:basedOn w:val="DefaultParagraphFont"/>
    <w:link w:val="Rodap1"/>
    <w:uiPriority w:val="99"/>
    <w:qFormat/>
    <w:locked/>
    <w:rsid w:val="00261491"/>
    <w:rPr>
      <w:rFonts w:cs="Times New Roman"/>
      <w:sz w:val="24"/>
      <w:szCs w:val="24"/>
    </w:rPr>
  </w:style>
  <w:style w:type="character" w:styleId="RecuodecorpodetextoChar" w:customStyle="1">
    <w:name w:val="Recuo de corpo de texto Char"/>
    <w:basedOn w:val="DefaultParagraphFont"/>
    <w:link w:val="Recuodecorpodetexto"/>
    <w:uiPriority w:val="99"/>
    <w:semiHidden/>
    <w:qFormat/>
    <w:locked/>
    <w:rsid w:val="00261491"/>
    <w:rPr>
      <w:rFonts w:cs="Times New Roman"/>
      <w:sz w:val="24"/>
      <w:szCs w:val="24"/>
    </w:rPr>
  </w:style>
  <w:style w:type="character" w:styleId="LinkdaInternet" w:customStyle="1">
    <w:name w:val="Link da Internet"/>
    <w:basedOn w:val="DefaultParagraphFont"/>
    <w:uiPriority w:val="99"/>
    <w:semiHidden/>
    <w:unhideWhenUsed/>
    <w:rsid w:val="00517ca5"/>
    <w:rPr>
      <w:color w:val="0000FF"/>
      <w:u w:val="single"/>
    </w:rPr>
  </w:style>
  <w:style w:type="character" w:styleId="Ttulo7Char" w:customStyle="1">
    <w:name w:val="Título 7 Char"/>
    <w:basedOn w:val="DefaultParagraphFont"/>
    <w:link w:val="Ttulo71"/>
    <w:semiHidden/>
    <w:qFormat/>
    <w:rsid w:val="007229cd"/>
    <w:rPr>
      <w:rFonts w:ascii="Cambria" w:hAnsi="Cambria" w:eastAsia="" w:cs="" w:asciiTheme="majorHAnsi" w:cstheme="majorBidi" w:eastAsiaTheme="majorEastAsia" w:hAnsiTheme="majorHAnsi"/>
      <w:i/>
      <w:iCs/>
      <w:color w:val="404040" w:themeColor="text1" w:themeTint="bf"/>
      <w:sz w:val="24"/>
      <w:szCs w:val="24"/>
    </w:rPr>
  </w:style>
  <w:style w:type="character" w:styleId="TtuloChar" w:customStyle="1">
    <w:name w:val="Título Char"/>
    <w:basedOn w:val="DefaultParagraphFont"/>
    <w:link w:val="Ttulo"/>
    <w:qFormat/>
    <w:rsid w:val="0036339a"/>
    <w:rPr>
      <w:rFonts w:ascii="Cambria" w:hAnsi="Cambria" w:eastAsia="" w:cs="" w:asciiTheme="majorHAnsi" w:cstheme="majorBidi" w:eastAsiaTheme="majorEastAsia" w:hAnsiTheme="majorHAnsi"/>
      <w:color w:val="17365D" w:themeColor="text2" w:themeShade="bf"/>
      <w:spacing w:val="5"/>
      <w:sz w:val="52"/>
      <w:szCs w:val="52"/>
    </w:rPr>
  </w:style>
  <w:style w:type="character" w:styleId="Appleconvertedspace" w:customStyle="1">
    <w:name w:val="apple-converted-space"/>
    <w:basedOn w:val="DefaultParagraphFont"/>
    <w:qFormat/>
    <w:rsid w:val="00001cdb"/>
    <w:rPr/>
  </w:style>
  <w:style w:type="character" w:styleId="ListLabel1" w:customStyle="1">
    <w:name w:val="ListLabel 1"/>
    <w:qFormat/>
    <w:rsid w:val="008e12e1"/>
    <w:rPr>
      <w:rFonts w:cs="Times New Roman"/>
    </w:rPr>
  </w:style>
  <w:style w:type="character" w:styleId="ListLabel6" w:customStyle="1">
    <w:name w:val="ListLabel 6"/>
    <w:qFormat/>
    <w:rsid w:val="008e12e1"/>
    <w:rPr>
      <w:rFonts w:ascii="Arial Rounded MT Bold" w:hAnsi="Arial Rounded MT Bold" w:cs="Symbol"/>
      <w:b/>
      <w:sz w:val="22"/>
    </w:rPr>
  </w:style>
  <w:style w:type="character" w:styleId="ListLabel7" w:customStyle="1">
    <w:name w:val="ListLabel 7"/>
    <w:qFormat/>
    <w:rsid w:val="008e12e1"/>
    <w:rPr>
      <w:rFonts w:cs="Courier New"/>
    </w:rPr>
  </w:style>
  <w:style w:type="character" w:styleId="ListLabel8" w:customStyle="1">
    <w:name w:val="ListLabel 8"/>
    <w:qFormat/>
    <w:rsid w:val="008e12e1"/>
    <w:rPr>
      <w:rFonts w:ascii="Arial Rounded MT Bold" w:hAnsi="Arial Rounded MT Bold" w:cs="Wingdings"/>
      <w:sz w:val="22"/>
    </w:rPr>
  </w:style>
  <w:style w:type="character" w:styleId="ListLabel4" w:customStyle="1">
    <w:name w:val="ListLabel 4"/>
    <w:qFormat/>
    <w:rsid w:val="008e12e1"/>
    <w:rPr>
      <w:rFonts w:ascii="Arial Rounded MT Bold" w:hAnsi="Arial Rounded MT Bold" w:cs="Times New Roman"/>
      <w:sz w:val="22"/>
    </w:rPr>
  </w:style>
  <w:style w:type="character" w:styleId="ListLabel5" w:customStyle="1">
    <w:name w:val="ListLabel 5"/>
    <w:qFormat/>
    <w:rsid w:val="008e12e1"/>
    <w:rPr>
      <w:rFonts w:cs="Times New Roman"/>
      <w:b w:val="false"/>
      <w:color w:val="00000A"/>
    </w:rPr>
  </w:style>
  <w:style w:type="character" w:styleId="ListLabel9" w:customStyle="1">
    <w:name w:val="ListLabel 9"/>
    <w:qFormat/>
    <w:rsid w:val="008e12e1"/>
    <w:rPr>
      <w:rFonts w:cs="Times New Roman"/>
      <w:sz w:val="22"/>
    </w:rPr>
  </w:style>
  <w:style w:type="character" w:styleId="ListLabel10" w:customStyle="1">
    <w:name w:val="ListLabel 10"/>
    <w:qFormat/>
    <w:rsid w:val="008e12e1"/>
    <w:rPr>
      <w:rFonts w:cs="Times New Roman"/>
      <w:b w:val="false"/>
      <w:color w:val="00000A"/>
    </w:rPr>
  </w:style>
  <w:style w:type="character" w:styleId="Marcas" w:customStyle="1">
    <w:name w:val="Marcas"/>
    <w:qFormat/>
    <w:rsid w:val="008e12e1"/>
    <w:rPr>
      <w:rFonts w:ascii="OpenSymbol" w:hAnsi="OpenSymbol" w:eastAsia="OpenSymbol" w:cs="OpenSymbol"/>
    </w:rPr>
  </w:style>
  <w:style w:type="character" w:styleId="ListLabel11" w:customStyle="1">
    <w:name w:val="ListLabel 11"/>
    <w:qFormat/>
    <w:rsid w:val="008e12e1"/>
    <w:rPr>
      <w:rFonts w:cs="OpenSymbol"/>
    </w:rPr>
  </w:style>
  <w:style w:type="character" w:styleId="ListLabel12" w:customStyle="1">
    <w:name w:val="ListLabel 12"/>
    <w:qFormat/>
    <w:rsid w:val="008e12e1"/>
    <w:rPr>
      <w:rFonts w:cs="OpenSymbol"/>
    </w:rPr>
  </w:style>
  <w:style w:type="character" w:styleId="ListLabel13" w:customStyle="1">
    <w:name w:val="ListLabel 13"/>
    <w:qFormat/>
    <w:rsid w:val="008e12e1"/>
    <w:rPr>
      <w:rFonts w:cs="OpenSymbol"/>
    </w:rPr>
  </w:style>
  <w:style w:type="character" w:styleId="ListLabel14" w:customStyle="1">
    <w:name w:val="ListLabel 14"/>
    <w:qFormat/>
    <w:rsid w:val="008e12e1"/>
    <w:rPr>
      <w:rFonts w:cs="OpenSymbol"/>
    </w:rPr>
  </w:style>
  <w:style w:type="character" w:styleId="ListLabel15" w:customStyle="1">
    <w:name w:val="ListLabel 15"/>
    <w:qFormat/>
    <w:rsid w:val="008e12e1"/>
    <w:rPr>
      <w:rFonts w:cs="OpenSymbol"/>
    </w:rPr>
  </w:style>
  <w:style w:type="character" w:styleId="ListLabel16" w:customStyle="1">
    <w:name w:val="ListLabel 16"/>
    <w:qFormat/>
    <w:rsid w:val="008e12e1"/>
    <w:rPr>
      <w:rFonts w:cs="OpenSymbol"/>
    </w:rPr>
  </w:style>
  <w:style w:type="character" w:styleId="ListLabel17" w:customStyle="1">
    <w:name w:val="ListLabel 17"/>
    <w:qFormat/>
    <w:rsid w:val="008e12e1"/>
    <w:rPr>
      <w:rFonts w:cs="OpenSymbol"/>
    </w:rPr>
  </w:style>
  <w:style w:type="character" w:styleId="ListLabel18" w:customStyle="1">
    <w:name w:val="ListLabel 18"/>
    <w:qFormat/>
    <w:rsid w:val="008e12e1"/>
    <w:rPr>
      <w:rFonts w:cs="OpenSymbol"/>
    </w:rPr>
  </w:style>
  <w:style w:type="character" w:styleId="ListLabel19" w:customStyle="1">
    <w:name w:val="ListLabel 19"/>
    <w:qFormat/>
    <w:rsid w:val="008e12e1"/>
    <w:rPr>
      <w:rFonts w:cs="OpenSymbol"/>
    </w:rPr>
  </w:style>
  <w:style w:type="character" w:styleId="ListLabel20" w:customStyle="1">
    <w:name w:val="ListLabel 20"/>
    <w:qFormat/>
    <w:rsid w:val="008e12e1"/>
    <w:rPr>
      <w:rFonts w:cs="OpenSymbol"/>
    </w:rPr>
  </w:style>
  <w:style w:type="character" w:styleId="ListLabel21" w:customStyle="1">
    <w:name w:val="ListLabel 21"/>
    <w:qFormat/>
    <w:rsid w:val="008e12e1"/>
    <w:rPr>
      <w:rFonts w:cs="OpenSymbol"/>
    </w:rPr>
  </w:style>
  <w:style w:type="character" w:styleId="ListLabel22" w:customStyle="1">
    <w:name w:val="ListLabel 22"/>
    <w:qFormat/>
    <w:rsid w:val="008e12e1"/>
    <w:rPr>
      <w:rFonts w:cs="OpenSymbol"/>
    </w:rPr>
  </w:style>
  <w:style w:type="character" w:styleId="ListLabel23" w:customStyle="1">
    <w:name w:val="ListLabel 23"/>
    <w:qFormat/>
    <w:rsid w:val="008e12e1"/>
    <w:rPr>
      <w:rFonts w:cs="OpenSymbol"/>
    </w:rPr>
  </w:style>
  <w:style w:type="character" w:styleId="ListLabel24" w:customStyle="1">
    <w:name w:val="ListLabel 24"/>
    <w:qFormat/>
    <w:rsid w:val="008e12e1"/>
    <w:rPr>
      <w:rFonts w:cs="OpenSymbol"/>
    </w:rPr>
  </w:style>
  <w:style w:type="character" w:styleId="ListLabel25" w:customStyle="1">
    <w:name w:val="ListLabel 25"/>
    <w:qFormat/>
    <w:rsid w:val="008e12e1"/>
    <w:rPr>
      <w:rFonts w:cs="OpenSymbol"/>
    </w:rPr>
  </w:style>
  <w:style w:type="character" w:styleId="ListLabel26" w:customStyle="1">
    <w:name w:val="ListLabel 26"/>
    <w:qFormat/>
    <w:rsid w:val="008e12e1"/>
    <w:rPr>
      <w:rFonts w:cs="OpenSymbol"/>
    </w:rPr>
  </w:style>
  <w:style w:type="character" w:styleId="ListLabel27" w:customStyle="1">
    <w:name w:val="ListLabel 27"/>
    <w:qFormat/>
    <w:rsid w:val="008e12e1"/>
    <w:rPr>
      <w:rFonts w:cs="OpenSymbol"/>
    </w:rPr>
  </w:style>
  <w:style w:type="character" w:styleId="ListLabel28" w:customStyle="1">
    <w:name w:val="ListLabel 28"/>
    <w:qFormat/>
    <w:rsid w:val="008e12e1"/>
    <w:rPr>
      <w:rFonts w:cs="OpenSymbol"/>
    </w:rPr>
  </w:style>
  <w:style w:type="character" w:styleId="ListLabel29" w:customStyle="1">
    <w:name w:val="ListLabel 29"/>
    <w:qFormat/>
    <w:rsid w:val="008e12e1"/>
    <w:rPr>
      <w:rFonts w:cs="OpenSymbol"/>
    </w:rPr>
  </w:style>
  <w:style w:type="character" w:styleId="ListLabel30" w:customStyle="1">
    <w:name w:val="ListLabel 30"/>
    <w:qFormat/>
    <w:rsid w:val="008e12e1"/>
    <w:rPr>
      <w:rFonts w:cs="OpenSymbol"/>
    </w:rPr>
  </w:style>
  <w:style w:type="character" w:styleId="ListLabel31" w:customStyle="1">
    <w:name w:val="ListLabel 31"/>
    <w:qFormat/>
    <w:rsid w:val="008e12e1"/>
    <w:rPr>
      <w:rFonts w:cs="OpenSymbol"/>
    </w:rPr>
  </w:style>
  <w:style w:type="character" w:styleId="ListLabel32" w:customStyle="1">
    <w:name w:val="ListLabel 32"/>
    <w:qFormat/>
    <w:rsid w:val="008e12e1"/>
    <w:rPr>
      <w:rFonts w:cs="OpenSymbol"/>
    </w:rPr>
  </w:style>
  <w:style w:type="character" w:styleId="ListLabel33" w:customStyle="1">
    <w:name w:val="ListLabel 33"/>
    <w:qFormat/>
    <w:rsid w:val="008e12e1"/>
    <w:rPr>
      <w:rFonts w:cs="OpenSymbol"/>
    </w:rPr>
  </w:style>
  <w:style w:type="character" w:styleId="ListLabel34" w:customStyle="1">
    <w:name w:val="ListLabel 34"/>
    <w:qFormat/>
    <w:rsid w:val="008e12e1"/>
    <w:rPr>
      <w:rFonts w:cs="OpenSymbol"/>
    </w:rPr>
  </w:style>
  <w:style w:type="character" w:styleId="ListLabel35" w:customStyle="1">
    <w:name w:val="ListLabel 35"/>
    <w:qFormat/>
    <w:rsid w:val="008e12e1"/>
    <w:rPr>
      <w:rFonts w:cs="OpenSymbol"/>
    </w:rPr>
  </w:style>
  <w:style w:type="character" w:styleId="ListLabel36" w:customStyle="1">
    <w:name w:val="ListLabel 36"/>
    <w:qFormat/>
    <w:rsid w:val="008e12e1"/>
    <w:rPr>
      <w:rFonts w:cs="OpenSymbol"/>
    </w:rPr>
  </w:style>
  <w:style w:type="character" w:styleId="ListLabel37" w:customStyle="1">
    <w:name w:val="ListLabel 37"/>
    <w:qFormat/>
    <w:rsid w:val="008e12e1"/>
    <w:rPr>
      <w:rFonts w:cs="OpenSymbol"/>
    </w:rPr>
  </w:style>
  <w:style w:type="character" w:styleId="ListLabel38" w:customStyle="1">
    <w:name w:val="ListLabel 38"/>
    <w:qFormat/>
    <w:rsid w:val="008e12e1"/>
    <w:rPr>
      <w:rFonts w:cs="OpenSymbol"/>
    </w:rPr>
  </w:style>
  <w:style w:type="character" w:styleId="ListLabel39" w:customStyle="1">
    <w:name w:val="ListLabel 39"/>
    <w:qFormat/>
    <w:rsid w:val="008e12e1"/>
    <w:rPr>
      <w:rFonts w:cs="OpenSymbol"/>
    </w:rPr>
  </w:style>
  <w:style w:type="character" w:styleId="ListLabel40" w:customStyle="1">
    <w:name w:val="ListLabel 40"/>
    <w:qFormat/>
    <w:rsid w:val="008e12e1"/>
    <w:rPr>
      <w:rFonts w:cs="OpenSymbol"/>
    </w:rPr>
  </w:style>
  <w:style w:type="character" w:styleId="ListLabel41" w:customStyle="1">
    <w:name w:val="ListLabel 41"/>
    <w:qFormat/>
    <w:rsid w:val="008e12e1"/>
    <w:rPr>
      <w:rFonts w:cs="OpenSymbol"/>
    </w:rPr>
  </w:style>
  <w:style w:type="character" w:styleId="ListLabel42" w:customStyle="1">
    <w:name w:val="ListLabel 42"/>
    <w:qFormat/>
    <w:rsid w:val="008e12e1"/>
    <w:rPr>
      <w:rFonts w:cs="OpenSymbol"/>
    </w:rPr>
  </w:style>
  <w:style w:type="character" w:styleId="ListLabel43" w:customStyle="1">
    <w:name w:val="ListLabel 43"/>
    <w:qFormat/>
    <w:rsid w:val="008e12e1"/>
    <w:rPr>
      <w:rFonts w:cs="OpenSymbol"/>
    </w:rPr>
  </w:style>
  <w:style w:type="character" w:styleId="ListLabel44" w:customStyle="1">
    <w:name w:val="ListLabel 44"/>
    <w:qFormat/>
    <w:rsid w:val="008e12e1"/>
    <w:rPr>
      <w:rFonts w:cs="OpenSymbol"/>
    </w:rPr>
  </w:style>
  <w:style w:type="character" w:styleId="ListLabel45" w:customStyle="1">
    <w:name w:val="ListLabel 45"/>
    <w:qFormat/>
    <w:rsid w:val="008e12e1"/>
    <w:rPr>
      <w:rFonts w:cs="OpenSymbol"/>
    </w:rPr>
  </w:style>
  <w:style w:type="character" w:styleId="ListLabel46" w:customStyle="1">
    <w:name w:val="ListLabel 46"/>
    <w:qFormat/>
    <w:rsid w:val="008e12e1"/>
    <w:rPr>
      <w:rFonts w:cs="OpenSymbol"/>
    </w:rPr>
  </w:style>
  <w:style w:type="character" w:styleId="ListLabel47" w:customStyle="1">
    <w:name w:val="ListLabel 47"/>
    <w:qFormat/>
    <w:rsid w:val="008e12e1"/>
    <w:rPr>
      <w:rFonts w:cs="OpenSymbol"/>
    </w:rPr>
  </w:style>
  <w:style w:type="character" w:styleId="ListLabel48" w:customStyle="1">
    <w:name w:val="ListLabel 48"/>
    <w:qFormat/>
    <w:rsid w:val="003d5a28"/>
    <w:rPr>
      <w:rFonts w:cs="OpenSymbol"/>
    </w:rPr>
  </w:style>
  <w:style w:type="character" w:styleId="ListLabel49" w:customStyle="1">
    <w:name w:val="ListLabel 49"/>
    <w:qFormat/>
    <w:rsid w:val="003d5a28"/>
    <w:rPr>
      <w:rFonts w:cs="OpenSymbol"/>
    </w:rPr>
  </w:style>
  <w:style w:type="character" w:styleId="ListLabel50" w:customStyle="1">
    <w:name w:val="ListLabel 50"/>
    <w:qFormat/>
    <w:rsid w:val="003d5a28"/>
    <w:rPr>
      <w:rFonts w:cs="OpenSymbol"/>
    </w:rPr>
  </w:style>
  <w:style w:type="character" w:styleId="ListLabel51" w:customStyle="1">
    <w:name w:val="ListLabel 51"/>
    <w:qFormat/>
    <w:rsid w:val="003d5a28"/>
    <w:rPr>
      <w:rFonts w:cs="OpenSymbol"/>
    </w:rPr>
  </w:style>
  <w:style w:type="character" w:styleId="ListLabel52" w:customStyle="1">
    <w:name w:val="ListLabel 52"/>
    <w:qFormat/>
    <w:rsid w:val="003d5a28"/>
    <w:rPr>
      <w:rFonts w:cs="OpenSymbol"/>
    </w:rPr>
  </w:style>
  <w:style w:type="character" w:styleId="ListLabel53" w:customStyle="1">
    <w:name w:val="ListLabel 53"/>
    <w:qFormat/>
    <w:rsid w:val="003d5a28"/>
    <w:rPr>
      <w:rFonts w:cs="OpenSymbol"/>
    </w:rPr>
  </w:style>
  <w:style w:type="character" w:styleId="ListLabel54" w:customStyle="1">
    <w:name w:val="ListLabel 54"/>
    <w:qFormat/>
    <w:rsid w:val="003d5a28"/>
    <w:rPr>
      <w:rFonts w:cs="OpenSymbol"/>
    </w:rPr>
  </w:style>
  <w:style w:type="character" w:styleId="ListLabel55" w:customStyle="1">
    <w:name w:val="ListLabel 55"/>
    <w:qFormat/>
    <w:rsid w:val="003d5a28"/>
    <w:rPr>
      <w:rFonts w:cs="OpenSymbol"/>
    </w:rPr>
  </w:style>
  <w:style w:type="character" w:styleId="ListLabel56" w:customStyle="1">
    <w:name w:val="ListLabel 56"/>
    <w:qFormat/>
    <w:rsid w:val="003d5a28"/>
    <w:rPr>
      <w:rFonts w:cs="OpenSymbol"/>
    </w:rPr>
  </w:style>
  <w:style w:type="character" w:styleId="ListLabel57" w:customStyle="1">
    <w:name w:val="ListLabel 57"/>
    <w:qFormat/>
    <w:rsid w:val="003d5a28"/>
    <w:rPr>
      <w:rFonts w:cs="OpenSymbol"/>
    </w:rPr>
  </w:style>
  <w:style w:type="character" w:styleId="ListLabel58" w:customStyle="1">
    <w:name w:val="ListLabel 58"/>
    <w:qFormat/>
    <w:rsid w:val="003d5a28"/>
    <w:rPr>
      <w:rFonts w:cs="OpenSymbol"/>
    </w:rPr>
  </w:style>
  <w:style w:type="character" w:styleId="ListLabel59" w:customStyle="1">
    <w:name w:val="ListLabel 59"/>
    <w:qFormat/>
    <w:rsid w:val="003d5a28"/>
    <w:rPr>
      <w:rFonts w:cs="OpenSymbol"/>
    </w:rPr>
  </w:style>
  <w:style w:type="character" w:styleId="ListLabel60" w:customStyle="1">
    <w:name w:val="ListLabel 60"/>
    <w:qFormat/>
    <w:rsid w:val="003d5a28"/>
    <w:rPr>
      <w:rFonts w:cs="OpenSymbol"/>
    </w:rPr>
  </w:style>
  <w:style w:type="character" w:styleId="ListLabel61" w:customStyle="1">
    <w:name w:val="ListLabel 61"/>
    <w:qFormat/>
    <w:rsid w:val="003d5a28"/>
    <w:rPr>
      <w:rFonts w:cs="OpenSymbol"/>
    </w:rPr>
  </w:style>
  <w:style w:type="character" w:styleId="ListLabel62" w:customStyle="1">
    <w:name w:val="ListLabel 62"/>
    <w:qFormat/>
    <w:rsid w:val="003d5a28"/>
    <w:rPr>
      <w:rFonts w:cs="OpenSymbol"/>
    </w:rPr>
  </w:style>
  <w:style w:type="character" w:styleId="ListLabel63" w:customStyle="1">
    <w:name w:val="ListLabel 63"/>
    <w:qFormat/>
    <w:rsid w:val="003d5a28"/>
    <w:rPr>
      <w:rFonts w:cs="OpenSymbol"/>
    </w:rPr>
  </w:style>
  <w:style w:type="character" w:styleId="ListLabel64" w:customStyle="1">
    <w:name w:val="ListLabel 64"/>
    <w:qFormat/>
    <w:rsid w:val="003d5a28"/>
    <w:rPr>
      <w:rFonts w:cs="OpenSymbol"/>
    </w:rPr>
  </w:style>
  <w:style w:type="character" w:styleId="ListLabel65" w:customStyle="1">
    <w:name w:val="ListLabel 65"/>
    <w:qFormat/>
    <w:rsid w:val="003d5a28"/>
    <w:rPr>
      <w:rFonts w:cs="OpenSymbol"/>
    </w:rPr>
  </w:style>
  <w:style w:type="character" w:styleId="Recuodecorpodetexto2Char" w:customStyle="1">
    <w:name w:val="Recuo de corpo de texto 2 Char"/>
    <w:basedOn w:val="DefaultParagraphFont"/>
    <w:link w:val="Recuodecorpodetexto2"/>
    <w:uiPriority w:val="99"/>
    <w:semiHidden/>
    <w:qFormat/>
    <w:rsid w:val="00517ca5"/>
    <w:rPr>
      <w:color w:val="00000A"/>
      <w:sz w:val="24"/>
      <w:szCs w:val="24"/>
    </w:rPr>
  </w:style>
  <w:style w:type="character" w:styleId="Nfase">
    <w:name w:val="Ênfase"/>
    <w:qFormat/>
    <w:locked/>
    <w:rsid w:val="00517ca5"/>
    <w:rPr>
      <w:rFonts w:cs="Times New Roman"/>
      <w:i/>
      <w:iCs/>
    </w:rPr>
  </w:style>
  <w:style w:type="character" w:styleId="CabealhoChar1" w:customStyle="1">
    <w:name w:val="Cabeçalho Char1"/>
    <w:basedOn w:val="DefaultParagraphFont"/>
    <w:link w:val="Header"/>
    <w:uiPriority w:val="99"/>
    <w:semiHidden/>
    <w:qFormat/>
    <w:rsid w:val="00517ca5"/>
    <w:rPr>
      <w:color w:val="00000A"/>
      <w:sz w:val="24"/>
      <w:szCs w:val="24"/>
    </w:rPr>
  </w:style>
  <w:style w:type="character" w:styleId="ListLabel66" w:customStyle="1">
    <w:name w:val="ListLabel 66"/>
    <w:qFormat/>
    <w:rsid w:val="00cb5ab5"/>
    <w:rPr>
      <w:rFonts w:ascii="Arial" w:hAnsi="Arial"/>
      <w:sz w:val="20"/>
    </w:rPr>
  </w:style>
  <w:style w:type="character" w:styleId="ListLabel67" w:customStyle="1">
    <w:name w:val="ListLabel 67"/>
    <w:qFormat/>
    <w:rsid w:val="00cb5ab5"/>
    <w:rPr>
      <w:sz w:val="20"/>
    </w:rPr>
  </w:style>
  <w:style w:type="character" w:styleId="ListLabel68" w:customStyle="1">
    <w:name w:val="ListLabel 68"/>
    <w:qFormat/>
    <w:rsid w:val="00cb5ab5"/>
    <w:rPr>
      <w:sz w:val="20"/>
    </w:rPr>
  </w:style>
  <w:style w:type="character" w:styleId="ListLabel69" w:customStyle="1">
    <w:name w:val="ListLabel 69"/>
    <w:qFormat/>
    <w:rsid w:val="00cb5ab5"/>
    <w:rPr>
      <w:sz w:val="20"/>
    </w:rPr>
  </w:style>
  <w:style w:type="character" w:styleId="ListLabel70" w:customStyle="1">
    <w:name w:val="ListLabel 70"/>
    <w:qFormat/>
    <w:rsid w:val="00cb5ab5"/>
    <w:rPr>
      <w:sz w:val="20"/>
    </w:rPr>
  </w:style>
  <w:style w:type="character" w:styleId="ListLabel71" w:customStyle="1">
    <w:name w:val="ListLabel 71"/>
    <w:qFormat/>
    <w:rsid w:val="00cb5ab5"/>
    <w:rPr>
      <w:sz w:val="20"/>
    </w:rPr>
  </w:style>
  <w:style w:type="character" w:styleId="ListLabel72" w:customStyle="1">
    <w:name w:val="ListLabel 72"/>
    <w:qFormat/>
    <w:rsid w:val="00cb5ab5"/>
    <w:rPr>
      <w:sz w:val="20"/>
    </w:rPr>
  </w:style>
  <w:style w:type="character" w:styleId="ListLabel73" w:customStyle="1">
    <w:name w:val="ListLabel 73"/>
    <w:qFormat/>
    <w:rsid w:val="00cb5ab5"/>
    <w:rPr>
      <w:sz w:val="20"/>
    </w:rPr>
  </w:style>
  <w:style w:type="character" w:styleId="ListLabel74" w:customStyle="1">
    <w:name w:val="ListLabel 74"/>
    <w:qFormat/>
    <w:rsid w:val="00cb5ab5"/>
    <w:rPr>
      <w:sz w:val="20"/>
    </w:rPr>
  </w:style>
  <w:style w:type="character" w:styleId="ListLabel75" w:customStyle="1">
    <w:name w:val="ListLabel 75"/>
    <w:qFormat/>
    <w:rsid w:val="00cb5ab5"/>
    <w:rPr>
      <w:rFonts w:cs="Courier New"/>
    </w:rPr>
  </w:style>
  <w:style w:type="character" w:styleId="ListLabel76" w:customStyle="1">
    <w:name w:val="ListLabel 76"/>
    <w:qFormat/>
    <w:rsid w:val="00cb5ab5"/>
    <w:rPr>
      <w:rFonts w:cs="Courier New"/>
    </w:rPr>
  </w:style>
  <w:style w:type="character" w:styleId="ListLabel77" w:customStyle="1">
    <w:name w:val="ListLabel 77"/>
    <w:qFormat/>
    <w:rsid w:val="00cb5ab5"/>
    <w:rPr>
      <w:rFonts w:cs="Courier New"/>
    </w:rPr>
  </w:style>
  <w:style w:type="character" w:styleId="ListLabel78" w:customStyle="1">
    <w:name w:val="ListLabel 78"/>
    <w:qFormat/>
    <w:rsid w:val="00cb5ab5"/>
    <w:rPr>
      <w:rFonts w:cs="Courier New"/>
    </w:rPr>
  </w:style>
  <w:style w:type="character" w:styleId="ListLabel79" w:customStyle="1">
    <w:name w:val="ListLabel 79"/>
    <w:qFormat/>
    <w:rsid w:val="00cb5ab5"/>
    <w:rPr>
      <w:rFonts w:cs="Courier New"/>
    </w:rPr>
  </w:style>
  <w:style w:type="character" w:styleId="ListLabel80" w:customStyle="1">
    <w:name w:val="ListLabel 80"/>
    <w:qFormat/>
    <w:rsid w:val="00cb5ab5"/>
    <w:rPr>
      <w:rFonts w:cs="Courier New"/>
    </w:rPr>
  </w:style>
  <w:style w:type="character" w:styleId="ListLabel81" w:customStyle="1">
    <w:name w:val="ListLabel 81"/>
    <w:qFormat/>
    <w:rsid w:val="00cb5ab5"/>
    <w:rPr>
      <w:rFonts w:ascii="Arial" w:hAnsi="Arial" w:cs="OpenSymbol"/>
    </w:rPr>
  </w:style>
  <w:style w:type="character" w:styleId="ListLabel82" w:customStyle="1">
    <w:name w:val="ListLabel 82"/>
    <w:qFormat/>
    <w:rsid w:val="00cb5ab5"/>
    <w:rPr>
      <w:rFonts w:cs="OpenSymbol"/>
    </w:rPr>
  </w:style>
  <w:style w:type="character" w:styleId="ListLabel83" w:customStyle="1">
    <w:name w:val="ListLabel 83"/>
    <w:qFormat/>
    <w:rsid w:val="00cb5ab5"/>
    <w:rPr>
      <w:rFonts w:cs="OpenSymbol"/>
    </w:rPr>
  </w:style>
  <w:style w:type="character" w:styleId="ListLabel84" w:customStyle="1">
    <w:name w:val="ListLabel 84"/>
    <w:qFormat/>
    <w:rsid w:val="00cb5ab5"/>
    <w:rPr>
      <w:rFonts w:cs="OpenSymbol"/>
    </w:rPr>
  </w:style>
  <w:style w:type="character" w:styleId="ListLabel85" w:customStyle="1">
    <w:name w:val="ListLabel 85"/>
    <w:qFormat/>
    <w:rsid w:val="00cb5ab5"/>
    <w:rPr>
      <w:rFonts w:cs="OpenSymbol"/>
    </w:rPr>
  </w:style>
  <w:style w:type="character" w:styleId="ListLabel86" w:customStyle="1">
    <w:name w:val="ListLabel 86"/>
    <w:qFormat/>
    <w:rsid w:val="00cb5ab5"/>
    <w:rPr>
      <w:rFonts w:cs="OpenSymbol"/>
    </w:rPr>
  </w:style>
  <w:style w:type="character" w:styleId="ListLabel87" w:customStyle="1">
    <w:name w:val="ListLabel 87"/>
    <w:qFormat/>
    <w:rsid w:val="00cb5ab5"/>
    <w:rPr>
      <w:rFonts w:cs="OpenSymbol"/>
    </w:rPr>
  </w:style>
  <w:style w:type="character" w:styleId="ListLabel88" w:customStyle="1">
    <w:name w:val="ListLabel 88"/>
    <w:qFormat/>
    <w:rsid w:val="00cb5ab5"/>
    <w:rPr>
      <w:rFonts w:cs="OpenSymbol"/>
    </w:rPr>
  </w:style>
  <w:style w:type="character" w:styleId="ListLabel89" w:customStyle="1">
    <w:name w:val="ListLabel 89"/>
    <w:qFormat/>
    <w:rsid w:val="00cb5ab5"/>
    <w:rPr>
      <w:rFonts w:cs="OpenSymbol"/>
    </w:rPr>
  </w:style>
  <w:style w:type="character" w:styleId="RodapChar1" w:customStyle="1">
    <w:name w:val="Rodapé Char1"/>
    <w:basedOn w:val="DefaultParagraphFont"/>
    <w:link w:val="Footer"/>
    <w:uiPriority w:val="99"/>
    <w:qFormat/>
    <w:rsid w:val="005c1c11"/>
    <w:rPr>
      <w:color w:val="00000A"/>
      <w:sz w:val="24"/>
      <w:szCs w:val="24"/>
    </w:rPr>
  </w:style>
  <w:style w:type="character" w:styleId="ListLabel90" w:customStyle="1">
    <w:name w:val="ListLabel 90"/>
    <w:qFormat/>
    <w:rsid w:val="00cb5ab5"/>
    <w:rPr>
      <w:rFonts w:ascii="Arial" w:hAnsi="Arial" w:cs="Arial"/>
      <w:b/>
      <w:sz w:val="24"/>
    </w:rPr>
  </w:style>
  <w:style w:type="character" w:styleId="ListLabel91" w:customStyle="1">
    <w:name w:val="ListLabel 91"/>
    <w:qFormat/>
    <w:rsid w:val="00cb5ab5"/>
    <w:rPr>
      <w:rFonts w:cs="Arial"/>
    </w:rPr>
  </w:style>
  <w:style w:type="character" w:styleId="ListLabel92" w:customStyle="1">
    <w:name w:val="ListLabel 92"/>
    <w:qFormat/>
    <w:rsid w:val="00cb5ab5"/>
    <w:rPr>
      <w:rFonts w:cs="Arial"/>
    </w:rPr>
  </w:style>
  <w:style w:type="character" w:styleId="ListLabel93" w:customStyle="1">
    <w:name w:val="ListLabel 93"/>
    <w:qFormat/>
    <w:rsid w:val="00cb5ab5"/>
    <w:rPr>
      <w:rFonts w:cs="Arial"/>
    </w:rPr>
  </w:style>
  <w:style w:type="character" w:styleId="ListLabel94" w:customStyle="1">
    <w:name w:val="ListLabel 94"/>
    <w:qFormat/>
    <w:rsid w:val="00cb5ab5"/>
    <w:rPr>
      <w:rFonts w:cs="Arial"/>
    </w:rPr>
  </w:style>
  <w:style w:type="character" w:styleId="ListLabel95" w:customStyle="1">
    <w:name w:val="ListLabel 95"/>
    <w:qFormat/>
    <w:rsid w:val="00cb5ab5"/>
    <w:rPr>
      <w:rFonts w:cs="Arial"/>
    </w:rPr>
  </w:style>
  <w:style w:type="character" w:styleId="ListLabel96" w:customStyle="1">
    <w:name w:val="ListLabel 96"/>
    <w:qFormat/>
    <w:rsid w:val="00cb5ab5"/>
    <w:rPr>
      <w:rFonts w:cs="Arial"/>
    </w:rPr>
  </w:style>
  <w:style w:type="character" w:styleId="ListLabel97" w:customStyle="1">
    <w:name w:val="ListLabel 97"/>
    <w:qFormat/>
    <w:rsid w:val="00cb5ab5"/>
    <w:rPr>
      <w:rFonts w:cs="Arial"/>
    </w:rPr>
  </w:style>
  <w:style w:type="character" w:styleId="ListLabel98" w:customStyle="1">
    <w:name w:val="ListLabel 98"/>
    <w:qFormat/>
    <w:rsid w:val="00cb5ab5"/>
    <w:rPr>
      <w:rFonts w:cs="Arial"/>
    </w:rPr>
  </w:style>
  <w:style w:type="character" w:styleId="ListLabel99" w:customStyle="1">
    <w:name w:val="ListLabel 99"/>
    <w:qFormat/>
    <w:rsid w:val="00cb5ab5"/>
    <w:rPr>
      <w:rFonts w:ascii="Arial" w:hAnsi="Arial" w:cs="Wingdings 2"/>
    </w:rPr>
  </w:style>
  <w:style w:type="character" w:styleId="ListLabel100" w:customStyle="1">
    <w:name w:val="ListLabel 100"/>
    <w:qFormat/>
    <w:rsid w:val="00cb5ab5"/>
    <w:rPr>
      <w:rFonts w:cs="Wingdings 2"/>
    </w:rPr>
  </w:style>
  <w:style w:type="character" w:styleId="ListLabel101" w:customStyle="1">
    <w:name w:val="ListLabel 101"/>
    <w:qFormat/>
    <w:rsid w:val="00cb5ab5"/>
    <w:rPr>
      <w:rFonts w:cs="Wingdings 2"/>
    </w:rPr>
  </w:style>
  <w:style w:type="character" w:styleId="ListLabel102" w:customStyle="1">
    <w:name w:val="ListLabel 102"/>
    <w:qFormat/>
    <w:rsid w:val="00cb5ab5"/>
    <w:rPr>
      <w:rFonts w:cs="Wingdings 2"/>
    </w:rPr>
  </w:style>
  <w:style w:type="character" w:styleId="ListLabel103" w:customStyle="1">
    <w:name w:val="ListLabel 103"/>
    <w:qFormat/>
    <w:rsid w:val="00cb5ab5"/>
    <w:rPr>
      <w:rFonts w:cs="Wingdings 2"/>
    </w:rPr>
  </w:style>
  <w:style w:type="character" w:styleId="ListLabel104" w:customStyle="1">
    <w:name w:val="ListLabel 104"/>
    <w:qFormat/>
    <w:rsid w:val="00cb5ab5"/>
    <w:rPr>
      <w:rFonts w:cs="Wingdings 2"/>
    </w:rPr>
  </w:style>
  <w:style w:type="character" w:styleId="ListLabel105" w:customStyle="1">
    <w:name w:val="ListLabel 105"/>
    <w:qFormat/>
    <w:rsid w:val="00cb5ab5"/>
    <w:rPr>
      <w:rFonts w:cs="Wingdings 2"/>
    </w:rPr>
  </w:style>
  <w:style w:type="character" w:styleId="ListLabel106" w:customStyle="1">
    <w:name w:val="ListLabel 106"/>
    <w:qFormat/>
    <w:rsid w:val="00cb5ab5"/>
    <w:rPr>
      <w:rFonts w:cs="Wingdings 2"/>
    </w:rPr>
  </w:style>
  <w:style w:type="character" w:styleId="ListLabel107" w:customStyle="1">
    <w:name w:val="ListLabel 107"/>
    <w:qFormat/>
    <w:rsid w:val="00cb5ab5"/>
    <w:rPr>
      <w:rFonts w:cs="Wingdings 2"/>
    </w:rPr>
  </w:style>
  <w:style w:type="character" w:styleId="ListLabel108" w:customStyle="1">
    <w:name w:val="ListLabel 108"/>
    <w:qFormat/>
    <w:rsid w:val="00cb5ab5"/>
    <w:rPr>
      <w:rFonts w:cs="Symbol"/>
      <w:sz w:val="20"/>
    </w:rPr>
  </w:style>
  <w:style w:type="character" w:styleId="ListLabel109" w:customStyle="1">
    <w:name w:val="ListLabel 109"/>
    <w:qFormat/>
    <w:rsid w:val="00cb5ab5"/>
    <w:rPr>
      <w:rFonts w:cs="Courier New"/>
      <w:sz w:val="20"/>
    </w:rPr>
  </w:style>
  <w:style w:type="character" w:styleId="ListLabel110" w:customStyle="1">
    <w:name w:val="ListLabel 110"/>
    <w:qFormat/>
    <w:rsid w:val="00cb5ab5"/>
    <w:rPr>
      <w:rFonts w:cs="Wingdings"/>
      <w:sz w:val="20"/>
    </w:rPr>
  </w:style>
  <w:style w:type="character" w:styleId="ListLabel111" w:customStyle="1">
    <w:name w:val="ListLabel 111"/>
    <w:qFormat/>
    <w:rsid w:val="00cb5ab5"/>
    <w:rPr>
      <w:rFonts w:cs="Wingdings"/>
      <w:sz w:val="20"/>
    </w:rPr>
  </w:style>
  <w:style w:type="character" w:styleId="ListLabel112" w:customStyle="1">
    <w:name w:val="ListLabel 112"/>
    <w:qFormat/>
    <w:rsid w:val="00cb5ab5"/>
    <w:rPr>
      <w:rFonts w:cs="Wingdings"/>
      <w:sz w:val="20"/>
    </w:rPr>
  </w:style>
  <w:style w:type="character" w:styleId="ListLabel113" w:customStyle="1">
    <w:name w:val="ListLabel 113"/>
    <w:qFormat/>
    <w:rsid w:val="00cb5ab5"/>
    <w:rPr>
      <w:rFonts w:cs="Wingdings"/>
      <w:sz w:val="20"/>
    </w:rPr>
  </w:style>
  <w:style w:type="character" w:styleId="ListLabel114" w:customStyle="1">
    <w:name w:val="ListLabel 114"/>
    <w:qFormat/>
    <w:rsid w:val="00cb5ab5"/>
    <w:rPr>
      <w:rFonts w:cs="Wingdings"/>
      <w:sz w:val="20"/>
    </w:rPr>
  </w:style>
  <w:style w:type="character" w:styleId="ListLabel115" w:customStyle="1">
    <w:name w:val="ListLabel 115"/>
    <w:qFormat/>
    <w:rsid w:val="00cb5ab5"/>
    <w:rPr>
      <w:rFonts w:cs="Wingdings"/>
      <w:sz w:val="20"/>
    </w:rPr>
  </w:style>
  <w:style w:type="character" w:styleId="ListLabel116" w:customStyle="1">
    <w:name w:val="ListLabel 116"/>
    <w:qFormat/>
    <w:rsid w:val="00cb5ab5"/>
    <w:rPr>
      <w:rFonts w:cs="Wingdings"/>
      <w:sz w:val="20"/>
    </w:rPr>
  </w:style>
  <w:style w:type="character" w:styleId="ListLabel117" w:customStyle="1">
    <w:name w:val="ListLabel 117"/>
    <w:qFormat/>
    <w:rsid w:val="00cb5ab5"/>
    <w:rPr>
      <w:rFonts w:ascii="Arial" w:hAnsi="Arial" w:cs="Wingdings"/>
    </w:rPr>
  </w:style>
  <w:style w:type="character" w:styleId="ListLabel118" w:customStyle="1">
    <w:name w:val="ListLabel 118"/>
    <w:qFormat/>
    <w:rsid w:val="00cb5ab5"/>
    <w:rPr>
      <w:rFonts w:cs="Courier New"/>
    </w:rPr>
  </w:style>
  <w:style w:type="character" w:styleId="ListLabel119" w:customStyle="1">
    <w:name w:val="ListLabel 119"/>
    <w:qFormat/>
    <w:rsid w:val="00cb5ab5"/>
    <w:rPr>
      <w:rFonts w:cs="Wingdings"/>
    </w:rPr>
  </w:style>
  <w:style w:type="character" w:styleId="ListLabel120" w:customStyle="1">
    <w:name w:val="ListLabel 120"/>
    <w:qFormat/>
    <w:rsid w:val="00cb5ab5"/>
    <w:rPr>
      <w:rFonts w:cs="Symbol"/>
    </w:rPr>
  </w:style>
  <w:style w:type="character" w:styleId="ListLabel121" w:customStyle="1">
    <w:name w:val="ListLabel 121"/>
    <w:qFormat/>
    <w:rsid w:val="00cb5ab5"/>
    <w:rPr>
      <w:rFonts w:cs="Courier New"/>
    </w:rPr>
  </w:style>
  <w:style w:type="character" w:styleId="ListLabel122" w:customStyle="1">
    <w:name w:val="ListLabel 122"/>
    <w:qFormat/>
    <w:rsid w:val="00cb5ab5"/>
    <w:rPr>
      <w:rFonts w:cs="Wingdings"/>
    </w:rPr>
  </w:style>
  <w:style w:type="character" w:styleId="ListLabel123" w:customStyle="1">
    <w:name w:val="ListLabel 123"/>
    <w:qFormat/>
    <w:rsid w:val="00cb5ab5"/>
    <w:rPr>
      <w:rFonts w:cs="Symbol"/>
    </w:rPr>
  </w:style>
  <w:style w:type="character" w:styleId="ListLabel124" w:customStyle="1">
    <w:name w:val="ListLabel 124"/>
    <w:qFormat/>
    <w:rsid w:val="00cb5ab5"/>
    <w:rPr>
      <w:rFonts w:cs="Courier New"/>
    </w:rPr>
  </w:style>
  <w:style w:type="character" w:styleId="ListLabel125" w:customStyle="1">
    <w:name w:val="ListLabel 125"/>
    <w:qFormat/>
    <w:rsid w:val="00cb5ab5"/>
    <w:rPr>
      <w:rFonts w:cs="Wingdings"/>
    </w:rPr>
  </w:style>
  <w:style w:type="character" w:styleId="ListLabel126" w:customStyle="1">
    <w:name w:val="ListLabel 126"/>
    <w:qFormat/>
    <w:rsid w:val="00cb5ab5"/>
    <w:rPr>
      <w:rFonts w:ascii="Times New Roman" w:hAnsi="Times New Roman" w:cs="Arial"/>
      <w:sz w:val="24"/>
    </w:rPr>
  </w:style>
  <w:style w:type="character" w:styleId="ListLabel127" w:customStyle="1">
    <w:name w:val="ListLabel 127"/>
    <w:qFormat/>
    <w:rsid w:val="00cb5ab5"/>
    <w:rPr>
      <w:rFonts w:cs="Courier New"/>
    </w:rPr>
  </w:style>
  <w:style w:type="character" w:styleId="ListLabel128" w:customStyle="1">
    <w:name w:val="ListLabel 128"/>
    <w:qFormat/>
    <w:rsid w:val="00cb5ab5"/>
    <w:rPr>
      <w:rFonts w:cs="Wingdings"/>
    </w:rPr>
  </w:style>
  <w:style w:type="character" w:styleId="ListLabel129" w:customStyle="1">
    <w:name w:val="ListLabel 129"/>
    <w:qFormat/>
    <w:rsid w:val="00cb5ab5"/>
    <w:rPr>
      <w:rFonts w:cs="Symbol"/>
    </w:rPr>
  </w:style>
  <w:style w:type="character" w:styleId="ListLabel130" w:customStyle="1">
    <w:name w:val="ListLabel 130"/>
    <w:qFormat/>
    <w:rsid w:val="00cb5ab5"/>
    <w:rPr>
      <w:rFonts w:cs="Courier New"/>
    </w:rPr>
  </w:style>
  <w:style w:type="character" w:styleId="ListLabel131" w:customStyle="1">
    <w:name w:val="ListLabel 131"/>
    <w:qFormat/>
    <w:rsid w:val="00cb5ab5"/>
    <w:rPr>
      <w:rFonts w:cs="Wingdings"/>
    </w:rPr>
  </w:style>
  <w:style w:type="character" w:styleId="ListLabel132" w:customStyle="1">
    <w:name w:val="ListLabel 132"/>
    <w:qFormat/>
    <w:rsid w:val="00cb5ab5"/>
    <w:rPr>
      <w:rFonts w:cs="Symbol"/>
    </w:rPr>
  </w:style>
  <w:style w:type="character" w:styleId="ListLabel133" w:customStyle="1">
    <w:name w:val="ListLabel 133"/>
    <w:qFormat/>
    <w:rsid w:val="00cb5ab5"/>
    <w:rPr>
      <w:rFonts w:cs="Courier New"/>
    </w:rPr>
  </w:style>
  <w:style w:type="character" w:styleId="ListLabel134" w:customStyle="1">
    <w:name w:val="ListLabel 134"/>
    <w:qFormat/>
    <w:rsid w:val="00cb5ab5"/>
    <w:rPr>
      <w:rFonts w:cs="Wingdings"/>
    </w:rPr>
  </w:style>
  <w:style w:type="character" w:styleId="ListLabel135" w:customStyle="1">
    <w:name w:val="ListLabel 135"/>
    <w:qFormat/>
    <w:rsid w:val="00cb5ab5"/>
    <w:rPr>
      <w:rFonts w:ascii="Arial" w:hAnsi="Arial" w:cs="OpenSymbol"/>
    </w:rPr>
  </w:style>
  <w:style w:type="character" w:styleId="ListLabel136" w:customStyle="1">
    <w:name w:val="ListLabel 136"/>
    <w:qFormat/>
    <w:rsid w:val="00cb5ab5"/>
    <w:rPr>
      <w:rFonts w:cs="OpenSymbol"/>
    </w:rPr>
  </w:style>
  <w:style w:type="character" w:styleId="ListLabel137" w:customStyle="1">
    <w:name w:val="ListLabel 137"/>
    <w:qFormat/>
    <w:rsid w:val="00cb5ab5"/>
    <w:rPr>
      <w:rFonts w:cs="OpenSymbol"/>
    </w:rPr>
  </w:style>
  <w:style w:type="character" w:styleId="ListLabel138" w:customStyle="1">
    <w:name w:val="ListLabel 138"/>
    <w:qFormat/>
    <w:rsid w:val="00cb5ab5"/>
    <w:rPr>
      <w:rFonts w:cs="OpenSymbol"/>
    </w:rPr>
  </w:style>
  <w:style w:type="character" w:styleId="ListLabel139" w:customStyle="1">
    <w:name w:val="ListLabel 139"/>
    <w:qFormat/>
    <w:rsid w:val="00cb5ab5"/>
    <w:rPr>
      <w:rFonts w:cs="OpenSymbol"/>
    </w:rPr>
  </w:style>
  <w:style w:type="character" w:styleId="ListLabel140" w:customStyle="1">
    <w:name w:val="ListLabel 140"/>
    <w:qFormat/>
    <w:rsid w:val="00cb5ab5"/>
    <w:rPr>
      <w:rFonts w:cs="OpenSymbol"/>
    </w:rPr>
  </w:style>
  <w:style w:type="character" w:styleId="ListLabel141" w:customStyle="1">
    <w:name w:val="ListLabel 141"/>
    <w:qFormat/>
    <w:rsid w:val="00cb5ab5"/>
    <w:rPr>
      <w:rFonts w:cs="OpenSymbol"/>
    </w:rPr>
  </w:style>
  <w:style w:type="character" w:styleId="ListLabel142" w:customStyle="1">
    <w:name w:val="ListLabel 142"/>
    <w:qFormat/>
    <w:rsid w:val="00cb5ab5"/>
    <w:rPr>
      <w:rFonts w:cs="OpenSymbol"/>
    </w:rPr>
  </w:style>
  <w:style w:type="character" w:styleId="ListLabel143" w:customStyle="1">
    <w:name w:val="ListLabel 143"/>
    <w:qFormat/>
    <w:rsid w:val="00cb5ab5"/>
    <w:rPr>
      <w:rFonts w:cs="OpenSymbol"/>
    </w:rPr>
  </w:style>
  <w:style w:type="character" w:styleId="ListLabel144" w:customStyle="1">
    <w:name w:val="ListLabel 144"/>
    <w:qFormat/>
    <w:rsid w:val="00cb5ab5"/>
    <w:rPr>
      <w:rFonts w:ascii="Times New Roman" w:hAnsi="Times New Roman" w:cs="Arial"/>
      <w:b/>
      <w:sz w:val="24"/>
    </w:rPr>
  </w:style>
  <w:style w:type="character" w:styleId="ListLabel145" w:customStyle="1">
    <w:name w:val="ListLabel 145"/>
    <w:qFormat/>
    <w:rsid w:val="00cb5ab5"/>
    <w:rPr>
      <w:rFonts w:cs="Arial"/>
    </w:rPr>
  </w:style>
  <w:style w:type="character" w:styleId="ListLabel146" w:customStyle="1">
    <w:name w:val="ListLabel 146"/>
    <w:qFormat/>
    <w:rsid w:val="00cb5ab5"/>
    <w:rPr>
      <w:rFonts w:cs="Arial"/>
    </w:rPr>
  </w:style>
  <w:style w:type="character" w:styleId="ListLabel147" w:customStyle="1">
    <w:name w:val="ListLabel 147"/>
    <w:qFormat/>
    <w:rsid w:val="00cb5ab5"/>
    <w:rPr>
      <w:rFonts w:cs="Arial"/>
    </w:rPr>
  </w:style>
  <w:style w:type="character" w:styleId="ListLabel148" w:customStyle="1">
    <w:name w:val="ListLabel 148"/>
    <w:qFormat/>
    <w:rsid w:val="00cb5ab5"/>
    <w:rPr>
      <w:rFonts w:cs="Arial"/>
    </w:rPr>
  </w:style>
  <w:style w:type="character" w:styleId="ListLabel149" w:customStyle="1">
    <w:name w:val="ListLabel 149"/>
    <w:qFormat/>
    <w:rsid w:val="00cb5ab5"/>
    <w:rPr>
      <w:rFonts w:cs="Arial"/>
    </w:rPr>
  </w:style>
  <w:style w:type="character" w:styleId="ListLabel150" w:customStyle="1">
    <w:name w:val="ListLabel 150"/>
    <w:qFormat/>
    <w:rsid w:val="00cb5ab5"/>
    <w:rPr>
      <w:rFonts w:cs="Arial"/>
    </w:rPr>
  </w:style>
  <w:style w:type="character" w:styleId="ListLabel151" w:customStyle="1">
    <w:name w:val="ListLabel 151"/>
    <w:qFormat/>
    <w:rsid w:val="00cb5ab5"/>
    <w:rPr>
      <w:rFonts w:cs="Arial"/>
    </w:rPr>
  </w:style>
  <w:style w:type="character" w:styleId="ListLabel152" w:customStyle="1">
    <w:name w:val="ListLabel 152"/>
    <w:qFormat/>
    <w:rsid w:val="00cb5ab5"/>
    <w:rPr>
      <w:rFonts w:cs="Arial"/>
    </w:rPr>
  </w:style>
  <w:style w:type="character" w:styleId="ListLabel153" w:customStyle="1">
    <w:name w:val="ListLabel 153"/>
    <w:qFormat/>
    <w:rsid w:val="00cb5ab5"/>
    <w:rPr>
      <w:rFonts w:cs="Wingdings 2"/>
    </w:rPr>
  </w:style>
  <w:style w:type="character" w:styleId="ListLabel154" w:customStyle="1">
    <w:name w:val="ListLabel 154"/>
    <w:qFormat/>
    <w:rsid w:val="00cb5ab5"/>
    <w:rPr>
      <w:rFonts w:cs="Wingdings 2"/>
    </w:rPr>
  </w:style>
  <w:style w:type="character" w:styleId="ListLabel155" w:customStyle="1">
    <w:name w:val="ListLabel 155"/>
    <w:qFormat/>
    <w:rsid w:val="00cb5ab5"/>
    <w:rPr>
      <w:rFonts w:cs="Wingdings 2"/>
    </w:rPr>
  </w:style>
  <w:style w:type="character" w:styleId="ListLabel156" w:customStyle="1">
    <w:name w:val="ListLabel 156"/>
    <w:qFormat/>
    <w:rsid w:val="00cb5ab5"/>
    <w:rPr>
      <w:rFonts w:cs="Wingdings 2"/>
    </w:rPr>
  </w:style>
  <w:style w:type="character" w:styleId="ListLabel157" w:customStyle="1">
    <w:name w:val="ListLabel 157"/>
    <w:qFormat/>
    <w:rsid w:val="00cb5ab5"/>
    <w:rPr>
      <w:rFonts w:cs="Wingdings 2"/>
    </w:rPr>
  </w:style>
  <w:style w:type="character" w:styleId="ListLabel158" w:customStyle="1">
    <w:name w:val="ListLabel 158"/>
    <w:qFormat/>
    <w:rsid w:val="00cb5ab5"/>
    <w:rPr>
      <w:rFonts w:cs="Wingdings 2"/>
    </w:rPr>
  </w:style>
  <w:style w:type="character" w:styleId="ListLabel159" w:customStyle="1">
    <w:name w:val="ListLabel 159"/>
    <w:qFormat/>
    <w:rsid w:val="00cb5ab5"/>
    <w:rPr>
      <w:rFonts w:cs="Wingdings 2"/>
    </w:rPr>
  </w:style>
  <w:style w:type="character" w:styleId="ListLabel160" w:customStyle="1">
    <w:name w:val="ListLabel 160"/>
    <w:qFormat/>
    <w:rsid w:val="00cb5ab5"/>
    <w:rPr>
      <w:rFonts w:cs="Wingdings 2"/>
    </w:rPr>
  </w:style>
  <w:style w:type="character" w:styleId="ListLabel161" w:customStyle="1">
    <w:name w:val="ListLabel 161"/>
    <w:qFormat/>
    <w:rsid w:val="00cb5ab5"/>
    <w:rPr>
      <w:rFonts w:cs="Wingdings 2"/>
    </w:rPr>
  </w:style>
  <w:style w:type="character" w:styleId="ListLabel162" w:customStyle="1">
    <w:name w:val="ListLabel 162"/>
    <w:qFormat/>
    <w:rsid w:val="00cb5ab5"/>
    <w:rPr>
      <w:rFonts w:ascii="Arial" w:hAnsi="Arial" w:cs="Wingdings"/>
    </w:rPr>
  </w:style>
  <w:style w:type="character" w:styleId="ListLabel163" w:customStyle="1">
    <w:name w:val="ListLabel 163"/>
    <w:qFormat/>
    <w:rsid w:val="00cb5ab5"/>
    <w:rPr>
      <w:rFonts w:cs="Courier New"/>
    </w:rPr>
  </w:style>
  <w:style w:type="character" w:styleId="ListLabel164" w:customStyle="1">
    <w:name w:val="ListLabel 164"/>
    <w:qFormat/>
    <w:rsid w:val="00cb5ab5"/>
    <w:rPr>
      <w:rFonts w:cs="Wingdings"/>
    </w:rPr>
  </w:style>
  <w:style w:type="character" w:styleId="ListLabel165" w:customStyle="1">
    <w:name w:val="ListLabel 165"/>
    <w:qFormat/>
    <w:rsid w:val="00cb5ab5"/>
    <w:rPr>
      <w:rFonts w:cs="Symbol"/>
    </w:rPr>
  </w:style>
  <w:style w:type="character" w:styleId="ListLabel166" w:customStyle="1">
    <w:name w:val="ListLabel 166"/>
    <w:qFormat/>
    <w:rsid w:val="00cb5ab5"/>
    <w:rPr>
      <w:rFonts w:cs="Courier New"/>
    </w:rPr>
  </w:style>
  <w:style w:type="character" w:styleId="ListLabel167" w:customStyle="1">
    <w:name w:val="ListLabel 167"/>
    <w:qFormat/>
    <w:rsid w:val="00cb5ab5"/>
    <w:rPr>
      <w:rFonts w:cs="Wingdings"/>
    </w:rPr>
  </w:style>
  <w:style w:type="character" w:styleId="ListLabel168" w:customStyle="1">
    <w:name w:val="ListLabel 168"/>
    <w:qFormat/>
    <w:rsid w:val="00cb5ab5"/>
    <w:rPr>
      <w:rFonts w:cs="Symbol"/>
    </w:rPr>
  </w:style>
  <w:style w:type="character" w:styleId="ListLabel169" w:customStyle="1">
    <w:name w:val="ListLabel 169"/>
    <w:qFormat/>
    <w:rsid w:val="00cb5ab5"/>
    <w:rPr>
      <w:rFonts w:cs="Courier New"/>
    </w:rPr>
  </w:style>
  <w:style w:type="character" w:styleId="ListLabel170" w:customStyle="1">
    <w:name w:val="ListLabel 170"/>
    <w:qFormat/>
    <w:rsid w:val="00cb5ab5"/>
    <w:rPr>
      <w:rFonts w:cs="Wingdings"/>
    </w:rPr>
  </w:style>
  <w:style w:type="character" w:styleId="ListLabel171" w:customStyle="1">
    <w:name w:val="ListLabel 171"/>
    <w:qFormat/>
    <w:rsid w:val="00cb5ab5"/>
    <w:rPr>
      <w:rFonts w:ascii="Times New Roman" w:hAnsi="Times New Roman" w:cs="Arial"/>
      <w:sz w:val="24"/>
    </w:rPr>
  </w:style>
  <w:style w:type="character" w:styleId="ListLabel172" w:customStyle="1">
    <w:name w:val="ListLabel 172"/>
    <w:qFormat/>
    <w:rsid w:val="00cb5ab5"/>
    <w:rPr>
      <w:rFonts w:cs="Courier New"/>
    </w:rPr>
  </w:style>
  <w:style w:type="character" w:styleId="ListLabel173" w:customStyle="1">
    <w:name w:val="ListLabel 173"/>
    <w:qFormat/>
    <w:rsid w:val="00cb5ab5"/>
    <w:rPr>
      <w:rFonts w:cs="Wingdings"/>
    </w:rPr>
  </w:style>
  <w:style w:type="character" w:styleId="ListLabel174" w:customStyle="1">
    <w:name w:val="ListLabel 174"/>
    <w:qFormat/>
    <w:rsid w:val="00cb5ab5"/>
    <w:rPr>
      <w:rFonts w:cs="Symbol"/>
    </w:rPr>
  </w:style>
  <w:style w:type="character" w:styleId="ListLabel175" w:customStyle="1">
    <w:name w:val="ListLabel 175"/>
    <w:qFormat/>
    <w:rsid w:val="00cb5ab5"/>
    <w:rPr>
      <w:rFonts w:cs="Courier New"/>
    </w:rPr>
  </w:style>
  <w:style w:type="character" w:styleId="ListLabel176" w:customStyle="1">
    <w:name w:val="ListLabel 176"/>
    <w:qFormat/>
    <w:rsid w:val="00cb5ab5"/>
    <w:rPr>
      <w:rFonts w:cs="Wingdings"/>
    </w:rPr>
  </w:style>
  <w:style w:type="character" w:styleId="ListLabel177" w:customStyle="1">
    <w:name w:val="ListLabel 177"/>
    <w:qFormat/>
    <w:rsid w:val="00cb5ab5"/>
    <w:rPr>
      <w:rFonts w:cs="Symbol"/>
    </w:rPr>
  </w:style>
  <w:style w:type="character" w:styleId="ListLabel178" w:customStyle="1">
    <w:name w:val="ListLabel 178"/>
    <w:qFormat/>
    <w:rsid w:val="00cb5ab5"/>
    <w:rPr>
      <w:rFonts w:cs="Courier New"/>
    </w:rPr>
  </w:style>
  <w:style w:type="character" w:styleId="ListLabel179" w:customStyle="1">
    <w:name w:val="ListLabel 179"/>
    <w:qFormat/>
    <w:rsid w:val="00cb5ab5"/>
    <w:rPr>
      <w:rFonts w:cs="Wingdings"/>
    </w:rPr>
  </w:style>
  <w:style w:type="character" w:styleId="ListLabel180" w:customStyle="1">
    <w:name w:val="ListLabel 180"/>
    <w:qFormat/>
    <w:rsid w:val="00cb5ab5"/>
    <w:rPr>
      <w:rFonts w:ascii="Arial" w:hAnsi="Arial" w:cs="OpenSymbol"/>
    </w:rPr>
  </w:style>
  <w:style w:type="character" w:styleId="ListLabel181" w:customStyle="1">
    <w:name w:val="ListLabel 181"/>
    <w:qFormat/>
    <w:rsid w:val="00cb5ab5"/>
    <w:rPr>
      <w:rFonts w:cs="OpenSymbol"/>
    </w:rPr>
  </w:style>
  <w:style w:type="character" w:styleId="ListLabel182" w:customStyle="1">
    <w:name w:val="ListLabel 182"/>
    <w:qFormat/>
    <w:rsid w:val="00cb5ab5"/>
    <w:rPr>
      <w:rFonts w:cs="OpenSymbol"/>
    </w:rPr>
  </w:style>
  <w:style w:type="character" w:styleId="ListLabel183" w:customStyle="1">
    <w:name w:val="ListLabel 183"/>
    <w:qFormat/>
    <w:rsid w:val="00cb5ab5"/>
    <w:rPr>
      <w:rFonts w:cs="OpenSymbol"/>
    </w:rPr>
  </w:style>
  <w:style w:type="character" w:styleId="ListLabel184" w:customStyle="1">
    <w:name w:val="ListLabel 184"/>
    <w:qFormat/>
    <w:rsid w:val="00cb5ab5"/>
    <w:rPr>
      <w:rFonts w:cs="OpenSymbol"/>
    </w:rPr>
  </w:style>
  <w:style w:type="character" w:styleId="ListLabel185" w:customStyle="1">
    <w:name w:val="ListLabel 185"/>
    <w:qFormat/>
    <w:rsid w:val="00cb5ab5"/>
    <w:rPr>
      <w:rFonts w:cs="OpenSymbol"/>
    </w:rPr>
  </w:style>
  <w:style w:type="character" w:styleId="ListLabel186" w:customStyle="1">
    <w:name w:val="ListLabel 186"/>
    <w:qFormat/>
    <w:rsid w:val="00cb5ab5"/>
    <w:rPr>
      <w:rFonts w:cs="OpenSymbol"/>
    </w:rPr>
  </w:style>
  <w:style w:type="character" w:styleId="ListLabel187" w:customStyle="1">
    <w:name w:val="ListLabel 187"/>
    <w:qFormat/>
    <w:rsid w:val="00cb5ab5"/>
    <w:rPr>
      <w:rFonts w:cs="OpenSymbol"/>
    </w:rPr>
  </w:style>
  <w:style w:type="character" w:styleId="ListLabel188" w:customStyle="1">
    <w:name w:val="ListLabel 188"/>
    <w:qFormat/>
    <w:rsid w:val="00cb5ab5"/>
    <w:rPr>
      <w:rFonts w:cs="OpenSymbol"/>
    </w:rPr>
  </w:style>
  <w:style w:type="character" w:styleId="Nfaseforte" w:customStyle="1">
    <w:name w:val="Ênfase forte"/>
    <w:qFormat/>
    <w:rsid w:val="00cb5ab5"/>
    <w:rPr>
      <w:b/>
      <w:bCs/>
    </w:rPr>
  </w:style>
  <w:style w:type="character" w:styleId="Citao1" w:customStyle="1">
    <w:name w:val="Citação1"/>
    <w:qFormat/>
    <w:rsid w:val="00cb5ab5"/>
    <w:rPr>
      <w:i/>
      <w:iCs/>
    </w:rPr>
  </w:style>
  <w:style w:type="character" w:styleId="Smbolosdenumerao" w:customStyle="1">
    <w:name w:val="Símbolos de numeração"/>
    <w:qFormat/>
    <w:rsid w:val="00cb5ab5"/>
    <w:rPr/>
  </w:style>
  <w:style w:type="character" w:styleId="ListLabel189" w:customStyle="1">
    <w:name w:val="ListLabel 189"/>
    <w:qFormat/>
    <w:rsid w:val="00cb5ab5"/>
    <w:rPr>
      <w:rFonts w:ascii="Arial;Helvetica;sans-serif" w:hAnsi="Arial;Helvetica;sans-serif" w:cs="OpenSymbol"/>
      <w:b w:val="false"/>
      <w:sz w:val="18"/>
    </w:rPr>
  </w:style>
  <w:style w:type="character" w:styleId="ListLabel190" w:customStyle="1">
    <w:name w:val="ListLabel 190"/>
    <w:qFormat/>
    <w:rsid w:val="00cb5ab5"/>
    <w:rPr>
      <w:rFonts w:cs="OpenSymbol"/>
    </w:rPr>
  </w:style>
  <w:style w:type="character" w:styleId="ListLabel191" w:customStyle="1">
    <w:name w:val="ListLabel 191"/>
    <w:qFormat/>
    <w:rsid w:val="00cb5ab5"/>
    <w:rPr>
      <w:rFonts w:cs="OpenSymbol"/>
    </w:rPr>
  </w:style>
  <w:style w:type="character" w:styleId="ListLabel192" w:customStyle="1">
    <w:name w:val="ListLabel 192"/>
    <w:qFormat/>
    <w:rsid w:val="00cb5ab5"/>
    <w:rPr>
      <w:rFonts w:cs="OpenSymbol"/>
    </w:rPr>
  </w:style>
  <w:style w:type="character" w:styleId="ListLabel193" w:customStyle="1">
    <w:name w:val="ListLabel 193"/>
    <w:qFormat/>
    <w:rsid w:val="00cb5ab5"/>
    <w:rPr>
      <w:rFonts w:cs="OpenSymbol"/>
    </w:rPr>
  </w:style>
  <w:style w:type="character" w:styleId="ListLabel194" w:customStyle="1">
    <w:name w:val="ListLabel 194"/>
    <w:qFormat/>
    <w:rsid w:val="00cb5ab5"/>
    <w:rPr>
      <w:rFonts w:cs="OpenSymbol"/>
    </w:rPr>
  </w:style>
  <w:style w:type="character" w:styleId="ListLabel195" w:customStyle="1">
    <w:name w:val="ListLabel 195"/>
    <w:qFormat/>
    <w:rsid w:val="00cb5ab5"/>
    <w:rPr>
      <w:rFonts w:cs="OpenSymbol"/>
    </w:rPr>
  </w:style>
  <w:style w:type="character" w:styleId="ListLabel196" w:customStyle="1">
    <w:name w:val="ListLabel 196"/>
    <w:qFormat/>
    <w:rsid w:val="00cb5ab5"/>
    <w:rPr>
      <w:rFonts w:cs="OpenSymbol"/>
    </w:rPr>
  </w:style>
  <w:style w:type="character" w:styleId="ListLabel197" w:customStyle="1">
    <w:name w:val="ListLabel 197"/>
    <w:qFormat/>
    <w:rsid w:val="00cb5ab5"/>
    <w:rPr>
      <w:rFonts w:cs="OpenSymbol"/>
    </w:rPr>
  </w:style>
  <w:style w:type="character" w:styleId="ListLabel198" w:customStyle="1">
    <w:name w:val="ListLabel 198"/>
    <w:qFormat/>
    <w:rsid w:val="00cb5ab5"/>
    <w:rPr>
      <w:rFonts w:cs="OpenSymbol"/>
    </w:rPr>
  </w:style>
  <w:style w:type="character" w:styleId="ListLabel199" w:customStyle="1">
    <w:name w:val="ListLabel 199"/>
    <w:qFormat/>
    <w:rsid w:val="00cb5ab5"/>
    <w:rPr>
      <w:rFonts w:cs="OpenSymbol"/>
    </w:rPr>
  </w:style>
  <w:style w:type="character" w:styleId="ListLabel200" w:customStyle="1">
    <w:name w:val="ListLabel 200"/>
    <w:qFormat/>
    <w:rsid w:val="00cb5ab5"/>
    <w:rPr>
      <w:rFonts w:cs="OpenSymbol"/>
    </w:rPr>
  </w:style>
  <w:style w:type="character" w:styleId="ListLabel201" w:customStyle="1">
    <w:name w:val="ListLabel 201"/>
    <w:qFormat/>
    <w:rsid w:val="00cb5ab5"/>
    <w:rPr>
      <w:rFonts w:cs="OpenSymbol"/>
    </w:rPr>
  </w:style>
  <w:style w:type="character" w:styleId="ListLabel202" w:customStyle="1">
    <w:name w:val="ListLabel 202"/>
    <w:qFormat/>
    <w:rsid w:val="00cb5ab5"/>
    <w:rPr>
      <w:rFonts w:cs="OpenSymbol"/>
    </w:rPr>
  </w:style>
  <w:style w:type="character" w:styleId="ListLabel203" w:customStyle="1">
    <w:name w:val="ListLabel 203"/>
    <w:qFormat/>
    <w:rsid w:val="00cb5ab5"/>
    <w:rPr>
      <w:rFonts w:cs="OpenSymbol"/>
    </w:rPr>
  </w:style>
  <w:style w:type="character" w:styleId="ListLabel204" w:customStyle="1">
    <w:name w:val="ListLabel 204"/>
    <w:qFormat/>
    <w:rsid w:val="00cb5ab5"/>
    <w:rPr>
      <w:rFonts w:cs="OpenSymbol"/>
    </w:rPr>
  </w:style>
  <w:style w:type="character" w:styleId="ListLabel205" w:customStyle="1">
    <w:name w:val="ListLabel 205"/>
    <w:qFormat/>
    <w:rsid w:val="00cb5ab5"/>
    <w:rPr>
      <w:rFonts w:cs="OpenSymbol"/>
    </w:rPr>
  </w:style>
  <w:style w:type="character" w:styleId="ListLabel206" w:customStyle="1">
    <w:name w:val="ListLabel 206"/>
    <w:qFormat/>
    <w:rsid w:val="00cb5ab5"/>
    <w:rPr>
      <w:rFonts w:cs="OpenSymbol"/>
    </w:rPr>
  </w:style>
  <w:style w:type="character" w:styleId="ListLabel207" w:customStyle="1">
    <w:name w:val="ListLabel 207"/>
    <w:qFormat/>
    <w:rsid w:val="00cb5ab5"/>
    <w:rPr>
      <w:rFonts w:ascii="Arial;Helvetica;sans-serif" w:hAnsi="Arial;Helvetica;sans-serif" w:cs="OpenSymbol"/>
      <w:b w:val="false"/>
      <w:sz w:val="18"/>
    </w:rPr>
  </w:style>
  <w:style w:type="character" w:styleId="ListLabel208" w:customStyle="1">
    <w:name w:val="ListLabel 208"/>
    <w:qFormat/>
    <w:rsid w:val="00cb5ab5"/>
    <w:rPr>
      <w:rFonts w:cs="OpenSymbol"/>
    </w:rPr>
  </w:style>
  <w:style w:type="character" w:styleId="ListLabel209" w:customStyle="1">
    <w:name w:val="ListLabel 209"/>
    <w:qFormat/>
    <w:rsid w:val="00cb5ab5"/>
    <w:rPr>
      <w:rFonts w:cs="OpenSymbol"/>
    </w:rPr>
  </w:style>
  <w:style w:type="character" w:styleId="ListLabel210" w:customStyle="1">
    <w:name w:val="ListLabel 210"/>
    <w:qFormat/>
    <w:rsid w:val="00cb5ab5"/>
    <w:rPr>
      <w:rFonts w:cs="OpenSymbol"/>
    </w:rPr>
  </w:style>
  <w:style w:type="character" w:styleId="ListLabel211" w:customStyle="1">
    <w:name w:val="ListLabel 211"/>
    <w:qFormat/>
    <w:rsid w:val="00cb5ab5"/>
    <w:rPr>
      <w:rFonts w:cs="OpenSymbol"/>
    </w:rPr>
  </w:style>
  <w:style w:type="character" w:styleId="ListLabel212" w:customStyle="1">
    <w:name w:val="ListLabel 212"/>
    <w:qFormat/>
    <w:rsid w:val="00cb5ab5"/>
    <w:rPr>
      <w:rFonts w:cs="OpenSymbol"/>
    </w:rPr>
  </w:style>
  <w:style w:type="character" w:styleId="ListLabel213" w:customStyle="1">
    <w:name w:val="ListLabel 213"/>
    <w:qFormat/>
    <w:rsid w:val="00cb5ab5"/>
    <w:rPr>
      <w:rFonts w:cs="OpenSymbol"/>
    </w:rPr>
  </w:style>
  <w:style w:type="character" w:styleId="ListLabel214" w:customStyle="1">
    <w:name w:val="ListLabel 214"/>
    <w:qFormat/>
    <w:rsid w:val="00cb5ab5"/>
    <w:rPr>
      <w:rFonts w:cs="OpenSymbol"/>
    </w:rPr>
  </w:style>
  <w:style w:type="character" w:styleId="ListLabel215" w:customStyle="1">
    <w:name w:val="ListLabel 215"/>
    <w:qFormat/>
    <w:rsid w:val="00cb5ab5"/>
    <w:rPr>
      <w:rFonts w:cs="OpenSymbol"/>
    </w:rPr>
  </w:style>
  <w:style w:type="character" w:styleId="ListLabel216" w:customStyle="1">
    <w:name w:val="ListLabel 216"/>
    <w:qFormat/>
    <w:rsid w:val="00cb5ab5"/>
    <w:rPr>
      <w:rFonts w:ascii="Arial;Helvetica;sans-serif" w:hAnsi="Arial;Helvetica;sans-serif" w:cs="OpenSymbol"/>
      <w:b w:val="false"/>
      <w:sz w:val="18"/>
    </w:rPr>
  </w:style>
  <w:style w:type="character" w:styleId="ListLabel217" w:customStyle="1">
    <w:name w:val="ListLabel 217"/>
    <w:qFormat/>
    <w:rsid w:val="00cb5ab5"/>
    <w:rPr>
      <w:rFonts w:cs="OpenSymbol"/>
    </w:rPr>
  </w:style>
  <w:style w:type="character" w:styleId="ListLabel218" w:customStyle="1">
    <w:name w:val="ListLabel 218"/>
    <w:qFormat/>
    <w:rsid w:val="00cb5ab5"/>
    <w:rPr>
      <w:rFonts w:cs="OpenSymbol"/>
    </w:rPr>
  </w:style>
  <w:style w:type="character" w:styleId="ListLabel219" w:customStyle="1">
    <w:name w:val="ListLabel 219"/>
    <w:qFormat/>
    <w:rsid w:val="00cb5ab5"/>
    <w:rPr>
      <w:rFonts w:cs="OpenSymbol"/>
    </w:rPr>
  </w:style>
  <w:style w:type="character" w:styleId="ListLabel220" w:customStyle="1">
    <w:name w:val="ListLabel 220"/>
    <w:qFormat/>
    <w:rsid w:val="00cb5ab5"/>
    <w:rPr>
      <w:rFonts w:cs="OpenSymbol"/>
    </w:rPr>
  </w:style>
  <w:style w:type="character" w:styleId="ListLabel221" w:customStyle="1">
    <w:name w:val="ListLabel 221"/>
    <w:qFormat/>
    <w:rsid w:val="00cb5ab5"/>
    <w:rPr>
      <w:rFonts w:cs="OpenSymbol"/>
    </w:rPr>
  </w:style>
  <w:style w:type="character" w:styleId="ListLabel222" w:customStyle="1">
    <w:name w:val="ListLabel 222"/>
    <w:qFormat/>
    <w:rsid w:val="00cb5ab5"/>
    <w:rPr>
      <w:rFonts w:cs="OpenSymbol"/>
    </w:rPr>
  </w:style>
  <w:style w:type="character" w:styleId="ListLabel223" w:customStyle="1">
    <w:name w:val="ListLabel 223"/>
    <w:qFormat/>
    <w:rsid w:val="00cb5ab5"/>
    <w:rPr>
      <w:rFonts w:cs="OpenSymbol"/>
    </w:rPr>
  </w:style>
  <w:style w:type="character" w:styleId="ListLabel224" w:customStyle="1">
    <w:name w:val="ListLabel 224"/>
    <w:qFormat/>
    <w:rsid w:val="00cb5ab5"/>
    <w:rPr>
      <w:rFonts w:cs="OpenSymbol"/>
    </w:rPr>
  </w:style>
  <w:style w:type="paragraph" w:styleId="Ttulo">
    <w:name w:val="Título"/>
    <w:basedOn w:val="Normal"/>
    <w:next w:val="Corpodetexto"/>
    <w:qFormat/>
    <w:pPr>
      <w:keepNext/>
      <w:spacing w:before="240" w:after="120"/>
    </w:pPr>
    <w:rPr>
      <w:rFonts w:ascii="Liberation Sans" w:hAnsi="Liberation Sans" w:eastAsia="Microsoft YaHei" w:cs="Mangal"/>
      <w:sz w:val="28"/>
      <w:szCs w:val="28"/>
    </w:rPr>
  </w:style>
  <w:style w:type="paragraph" w:styleId="Corpodetexto">
    <w:name w:val="Body Text"/>
    <w:basedOn w:val="Normal"/>
    <w:rsid w:val="008e12e1"/>
    <w:pPr>
      <w:spacing w:lineRule="auto" w:line="288" w:before="0" w:after="140"/>
    </w:pPr>
    <w:rPr/>
  </w:style>
  <w:style w:type="paragraph" w:styleId="Lista">
    <w:name w:val="List"/>
    <w:basedOn w:val="Corpodetexto"/>
    <w:rsid w:val="008e12e1"/>
    <w:pPr/>
    <w:rPr>
      <w:rFonts w:cs="Mangal"/>
    </w:rPr>
  </w:style>
  <w:style w:type="paragraph" w:styleId="Legenda" w:customStyle="1">
    <w:name w:val="Caption"/>
    <w:basedOn w:val="Normal"/>
    <w:qFormat/>
    <w:rsid w:val="00cb5ab5"/>
    <w:pPr>
      <w:suppressLineNumbers/>
      <w:spacing w:before="120" w:after="120"/>
    </w:pPr>
    <w:rPr>
      <w:rFonts w:cs="Mangal"/>
      <w:i/>
      <w:iCs/>
    </w:rPr>
  </w:style>
  <w:style w:type="paragraph" w:styleId="Ndice" w:customStyle="1">
    <w:name w:val="Índice"/>
    <w:basedOn w:val="Normal"/>
    <w:qFormat/>
    <w:rsid w:val="008e12e1"/>
    <w:pPr>
      <w:suppressLineNumbers/>
    </w:pPr>
    <w:rPr>
      <w:rFonts w:cs="Mangal"/>
    </w:rPr>
  </w:style>
  <w:style w:type="paragraph" w:styleId="Ttulododocumento">
    <w:name w:val="Title"/>
    <w:basedOn w:val="Normal"/>
    <w:link w:val="TtuloChar"/>
    <w:qFormat/>
    <w:locked/>
    <w:rsid w:val="0036339a"/>
    <w:pPr>
      <w:pBdr>
        <w:bottom w:val="single" w:sz="8" w:space="4" w:color="4F81BD"/>
      </w:pBdr>
      <w:spacing w:before="0" w:after="300"/>
      <w:contextualSpacing/>
    </w:pPr>
    <w:rPr>
      <w:rFonts w:ascii="Cambria" w:hAnsi="Cambria" w:eastAsia="" w:cs="" w:asciiTheme="majorHAnsi" w:cstheme="majorBidi" w:eastAsiaTheme="majorEastAsia" w:hAnsiTheme="majorHAnsi"/>
      <w:color w:val="17365D" w:themeColor="text2" w:themeShade="bf"/>
      <w:spacing w:val="5"/>
      <w:sz w:val="52"/>
      <w:szCs w:val="52"/>
    </w:rPr>
  </w:style>
  <w:style w:type="paragraph" w:styleId="Ttulo11" w:customStyle="1">
    <w:name w:val="Título 11"/>
    <w:basedOn w:val="Ttulododocumento"/>
    <w:qFormat/>
    <w:rsid w:val="008e12e1"/>
    <w:pPr/>
    <w:rPr/>
  </w:style>
  <w:style w:type="paragraph" w:styleId="Ttulo21" w:customStyle="1">
    <w:name w:val="Título 21"/>
    <w:basedOn w:val="Ttulododocumento"/>
    <w:qFormat/>
    <w:rsid w:val="008e12e1"/>
    <w:pPr/>
    <w:rPr/>
  </w:style>
  <w:style w:type="paragraph" w:styleId="Ttulo31" w:customStyle="1">
    <w:name w:val="Título 31"/>
    <w:basedOn w:val="Ttulododocumento"/>
    <w:qFormat/>
    <w:rsid w:val="008e12e1"/>
    <w:pPr/>
    <w:rPr/>
  </w:style>
  <w:style w:type="paragraph" w:styleId="Ttulo41" w:customStyle="1">
    <w:name w:val="Título 41"/>
    <w:basedOn w:val="Normal"/>
    <w:next w:val="Normal"/>
    <w:qFormat/>
    <w:rsid w:val="008e12e1"/>
    <w:pPr>
      <w:keepNext/>
      <w:spacing w:before="240" w:after="60"/>
      <w:outlineLvl w:val="3"/>
    </w:pPr>
    <w:rPr>
      <w:b/>
      <w:bCs/>
      <w:sz w:val="28"/>
      <w:szCs w:val="28"/>
    </w:rPr>
  </w:style>
  <w:style w:type="paragraph" w:styleId="Ttulo61" w:customStyle="1">
    <w:name w:val="Título 61"/>
    <w:basedOn w:val="Normal"/>
    <w:next w:val="Normal"/>
    <w:link w:val="Ttulo6Char"/>
    <w:uiPriority w:val="99"/>
    <w:qFormat/>
    <w:locked/>
    <w:rsid w:val="00a77c80"/>
    <w:pPr>
      <w:spacing w:before="240" w:after="60"/>
      <w:outlineLvl w:val="5"/>
    </w:pPr>
    <w:rPr>
      <w:b/>
      <w:bCs/>
      <w:sz w:val="22"/>
      <w:szCs w:val="22"/>
    </w:rPr>
  </w:style>
  <w:style w:type="paragraph" w:styleId="Ttulo71" w:customStyle="1">
    <w:name w:val="Título 71"/>
    <w:basedOn w:val="Normal"/>
    <w:next w:val="Normal"/>
    <w:link w:val="Ttulo7Char"/>
    <w:semiHidden/>
    <w:unhideWhenUsed/>
    <w:qFormat/>
    <w:locked/>
    <w:rsid w:val="007229cd"/>
    <w:pPr>
      <w:keepNext/>
      <w:keepLines/>
      <w:spacing w:before="200" w:after="0"/>
      <w:outlineLvl w:val="6"/>
    </w:pPr>
    <w:rPr>
      <w:rFonts w:ascii="Cambria" w:hAnsi="Cambria" w:eastAsia="" w:cs="" w:asciiTheme="majorHAnsi" w:cstheme="majorBidi" w:eastAsiaTheme="majorEastAsia" w:hAnsiTheme="majorHAnsi"/>
      <w:i/>
      <w:iCs/>
      <w:color w:val="404040" w:themeColor="text1" w:themeTint="bf"/>
    </w:rPr>
  </w:style>
  <w:style w:type="paragraph" w:styleId="Legenda1" w:customStyle="1">
    <w:name w:val="Legenda1"/>
    <w:basedOn w:val="Normal"/>
    <w:qFormat/>
    <w:rsid w:val="008e12e1"/>
    <w:pPr>
      <w:suppressLineNumbers/>
      <w:spacing w:before="120" w:after="120"/>
    </w:pPr>
    <w:rPr>
      <w:rFonts w:cs="Mangal"/>
      <w:i/>
      <w:iCs/>
    </w:rPr>
  </w:style>
  <w:style w:type="paragraph" w:styleId="Cabealho" w:customStyle="1">
    <w:name w:val="Header"/>
    <w:basedOn w:val="Normal"/>
    <w:link w:val="CabealhoChar1"/>
    <w:rsid w:val="00517ca5"/>
    <w:pPr>
      <w:widowControl w:val="false"/>
      <w:tabs>
        <w:tab w:val="center" w:pos="4419" w:leader="none"/>
        <w:tab w:val="right" w:pos="8838" w:leader="none"/>
      </w:tabs>
    </w:pPr>
    <w:rPr>
      <w:rFonts w:ascii="Arial" w:hAnsi="Arial"/>
      <w:sz w:val="20"/>
      <w:szCs w:val="20"/>
      <w:lang w:eastAsia="en-US"/>
    </w:rPr>
  </w:style>
  <w:style w:type="paragraph" w:styleId="BalloonText">
    <w:name w:val="Balloon Text"/>
    <w:basedOn w:val="Normal"/>
    <w:link w:val="TextodebaloChar"/>
    <w:uiPriority w:val="99"/>
    <w:semiHidden/>
    <w:qFormat/>
    <w:rsid w:val="0052054d"/>
    <w:pPr/>
    <w:rPr>
      <w:rFonts w:ascii="Tahoma" w:hAnsi="Tahoma" w:cs="Tahoma"/>
      <w:sz w:val="16"/>
      <w:szCs w:val="16"/>
    </w:rPr>
  </w:style>
  <w:style w:type="paragraph" w:styleId="ListParagraph">
    <w:name w:val="List Paragraph"/>
    <w:basedOn w:val="Normal"/>
    <w:uiPriority w:val="34"/>
    <w:qFormat/>
    <w:rsid w:val="00c97502"/>
    <w:pPr>
      <w:spacing w:lineRule="auto" w:line="276" w:before="0" w:after="200"/>
      <w:ind w:left="720" w:hanging="0"/>
      <w:contextualSpacing/>
    </w:pPr>
    <w:rPr>
      <w:rFonts w:ascii="Calibri" w:hAnsi="Calibri"/>
      <w:sz w:val="22"/>
      <w:szCs w:val="22"/>
      <w:lang w:eastAsia="en-US"/>
    </w:rPr>
  </w:style>
  <w:style w:type="paragraph" w:styleId="Rodap1" w:customStyle="1">
    <w:name w:val="Rodapé1"/>
    <w:basedOn w:val="Normal"/>
    <w:link w:val="RodapChar"/>
    <w:uiPriority w:val="99"/>
    <w:qFormat/>
    <w:rsid w:val="000a652d"/>
    <w:pPr>
      <w:tabs>
        <w:tab w:val="center" w:pos="4252" w:leader="none"/>
        <w:tab w:val="right" w:pos="8504" w:leader="none"/>
      </w:tabs>
    </w:pPr>
    <w:rPr/>
  </w:style>
  <w:style w:type="paragraph" w:styleId="Corpodetextorecuado">
    <w:name w:val="Body Text Indent"/>
    <w:basedOn w:val="Normal"/>
    <w:link w:val="RecuodecorpodetextoChar"/>
    <w:uiPriority w:val="99"/>
    <w:rsid w:val="00a77c80"/>
    <w:pPr>
      <w:spacing w:before="0" w:after="120"/>
      <w:ind w:left="284" w:firstLine="708"/>
      <w:jc w:val="both"/>
    </w:pPr>
    <w:rPr/>
  </w:style>
  <w:style w:type="paragraph" w:styleId="Contedodoquadro" w:customStyle="1">
    <w:name w:val="Conteúdo do quadro"/>
    <w:basedOn w:val="Normal"/>
    <w:qFormat/>
    <w:rsid w:val="008e12e1"/>
    <w:pPr/>
    <w:rPr/>
  </w:style>
  <w:style w:type="paragraph" w:styleId="Citaes" w:customStyle="1">
    <w:name w:val="Citações"/>
    <w:basedOn w:val="Normal"/>
    <w:qFormat/>
    <w:rsid w:val="008e12e1"/>
    <w:pPr/>
    <w:rPr/>
  </w:style>
  <w:style w:type="paragraph" w:styleId="Subttulo">
    <w:name w:val="Subtitle"/>
    <w:basedOn w:val="Ttulododocumento"/>
    <w:qFormat/>
    <w:rsid w:val="008e12e1"/>
    <w:pPr/>
    <w:rPr/>
  </w:style>
  <w:style w:type="paragraph" w:styleId="Default" w:customStyle="1">
    <w:name w:val="Default"/>
    <w:qFormat/>
    <w:rsid w:val="008e12e1"/>
    <w:pPr>
      <w:widowControl/>
      <w:bidi w:val="0"/>
      <w:spacing w:lineRule="auto" w:line="276"/>
      <w:jc w:val="left"/>
    </w:pPr>
    <w:rPr>
      <w:rFonts w:ascii="TQGUZ W+ Syntax" w:hAnsi="TQGUZ W+ Syntax" w:cs="TQGUZ W+ Syntax" w:eastAsia="Times New Roman"/>
      <w:color w:val="000000"/>
      <w:sz w:val="24"/>
      <w:szCs w:val="24"/>
      <w:lang w:val="pt-BR" w:eastAsia="pt-BR" w:bidi="ar-SA"/>
    </w:rPr>
  </w:style>
  <w:style w:type="paragraph" w:styleId="BodyTextIndent2">
    <w:name w:val="Body Text Indent 2"/>
    <w:basedOn w:val="Normal"/>
    <w:link w:val="Recuodecorpodetexto2Char"/>
    <w:uiPriority w:val="99"/>
    <w:semiHidden/>
    <w:unhideWhenUsed/>
    <w:qFormat/>
    <w:rsid w:val="00517ca5"/>
    <w:pPr>
      <w:spacing w:lineRule="auto" w:line="480" w:before="0" w:after="120"/>
      <w:ind w:left="283" w:hanging="0"/>
    </w:pPr>
    <w:rPr/>
  </w:style>
  <w:style w:type="paragraph" w:styleId="Standard" w:customStyle="1">
    <w:name w:val="Standard"/>
    <w:qFormat/>
    <w:rsid w:val="00517ca5"/>
    <w:pPr>
      <w:widowControl/>
      <w:suppressAutoHyphens w:val="true"/>
      <w:bidi w:val="0"/>
      <w:jc w:val="left"/>
      <w:textAlignment w:val="baseline"/>
    </w:pPr>
    <w:rPr>
      <w:rFonts w:ascii="Liberation Serif" w:hAnsi="Liberation Serif" w:eastAsia="SimSun" w:cs="Mangal"/>
      <w:color w:val="00000A"/>
      <w:sz w:val="24"/>
      <w:szCs w:val="24"/>
      <w:lang w:eastAsia="zh-CN" w:bidi="hi-IN" w:val="pt-BR"/>
    </w:rPr>
  </w:style>
  <w:style w:type="paragraph" w:styleId="NormalWeb">
    <w:name w:val="Normal (Web)"/>
    <w:basedOn w:val="Normal"/>
    <w:uiPriority w:val="99"/>
    <w:qFormat/>
    <w:rsid w:val="00590f81"/>
    <w:pPr>
      <w:spacing w:beforeAutospacing="1" w:afterAutospacing="1"/>
    </w:pPr>
    <w:rPr/>
  </w:style>
  <w:style w:type="paragraph" w:styleId="Rodap" w:customStyle="1">
    <w:name w:val="Footer"/>
    <w:basedOn w:val="Normal"/>
    <w:link w:val="RodapChar1"/>
    <w:uiPriority w:val="99"/>
    <w:unhideWhenUsed/>
    <w:rsid w:val="005c1c11"/>
    <w:pPr>
      <w:tabs>
        <w:tab w:val="center" w:pos="4252" w:leader="none"/>
        <w:tab w:val="right" w:pos="8504" w:leader="none"/>
      </w:tabs>
    </w:pPr>
    <w:rPr/>
  </w:style>
  <w:style w:type="paragraph" w:styleId="Contedodatabela" w:customStyle="1">
    <w:name w:val="Conteúdo da tabela"/>
    <w:basedOn w:val="Normal"/>
    <w:qFormat/>
    <w:rsid w:val="00cb5ab5"/>
    <w:pPr>
      <w:suppressLineNumbers/>
    </w:pPr>
    <w:rPr/>
  </w:style>
  <w:style w:type="numbering" w:styleId="NoList" w:default="1">
    <w:name w:val="No List"/>
    <w:uiPriority w:val="99"/>
    <w:semiHidden/>
    <w:unhideWhenUsed/>
    <w:qFormat/>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table" w:styleId="Tabelacomgrade">
    <w:name w:val="Table Grid"/>
    <w:basedOn w:val="Tabelanormal"/>
    <w:uiPriority w:val="99"/>
    <w:rsid w:val="00515653"/>
    <w:tblP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2.png"/><Relationship Id="rId4" Type="http://schemas.openxmlformats.org/officeDocument/2006/relationships/footer" Target="footer1.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Application>LibreOffice/5.2.0.4$Windows_x86 LibreOffice_project/066b007f5ebcc236395c7d282ba488bca6720265</Application>
  <Pages>5</Pages>
  <Words>2018</Words>
  <Characters>10415</Characters>
  <CharactersWithSpaces>12267</CharactersWithSpaces>
  <Paragraphs>447</Paragraphs>
  <Company>Microsoft</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2017-07-04T21:18:00Z</dcterms:created>
  <dc:creator>SUPER7098</dc:creator>
  <dc:description/>
  <dc:language>pt-BR</dc:language>
  <cp:lastModifiedBy>continl</cp:lastModifiedBy>
  <cp:lastPrinted>2017-06-23T18:16:00Z</cp:lastPrinted>
  <dcterms:modified xsi:type="dcterms:W3CDTF">2017-07-04T21:18:00Z</dcterms:modified>
  <cp:revision>2</cp:revision>
  <dc:subject/>
  <dc:title>A Secretaria de Estado da Saúde, em parceria com a Universidade Federal de Santa Catarina, iniciou em  2007 a implantação do Sistema de Telediagnóstico no Estado de Santa Catarina</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Microsoft</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