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4BCC" w:rsidRPr="004A3107" w:rsidRDefault="00FE4BCC" w:rsidP="00FE4BCC">
      <w:pPr>
        <w:spacing w:after="0" w:line="240" w:lineRule="auto"/>
        <w:ind w:firstLine="567"/>
        <w:jc w:val="center"/>
        <w:rPr>
          <w:rFonts w:ascii="Arial" w:eastAsia="Times New Roman" w:hAnsi="Arial" w:cs="Arial"/>
          <w:sz w:val="24"/>
          <w:szCs w:val="24"/>
          <w:lang w:eastAsia="pt-BR"/>
        </w:rPr>
      </w:pPr>
      <w:r w:rsidRPr="004A3107">
        <w:rPr>
          <w:rFonts w:ascii="Arial" w:eastAsia="Times New Roman" w:hAnsi="Arial" w:cs="Arial"/>
          <w:b/>
          <w:bCs/>
          <w:sz w:val="24"/>
          <w:szCs w:val="24"/>
          <w:lang w:eastAsia="pt-BR"/>
        </w:rPr>
        <w:t>PORTARIA N</w:t>
      </w:r>
      <w:r w:rsidRPr="004A3107">
        <w:rPr>
          <w:rFonts w:ascii="Arial" w:eastAsia="Times New Roman" w:hAnsi="Arial" w:cs="Arial"/>
          <w:b/>
          <w:bCs/>
          <w:strike/>
          <w:sz w:val="24"/>
          <w:szCs w:val="24"/>
          <w:lang w:eastAsia="pt-BR"/>
        </w:rPr>
        <w:t>º</w:t>
      </w:r>
      <w:r w:rsidRPr="004A3107">
        <w:rPr>
          <w:rFonts w:ascii="Arial" w:eastAsia="Times New Roman" w:hAnsi="Arial" w:cs="Arial"/>
          <w:b/>
          <w:bCs/>
          <w:sz w:val="24"/>
          <w:szCs w:val="24"/>
          <w:lang w:eastAsia="pt-BR"/>
        </w:rPr>
        <w:t xml:space="preserve"> 204/GM DE 29 DE JANEIRO DE 2007.</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left="2340"/>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Regulamenta o financiamento e a transferência dos recursos federais para as ações e os serviços de saúde, na forma de blocos de financiamento, com o respectivo monitoramento e controle.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O MINISTRO DE ESTADO DA SAÚDE, no uso das atribuições que lhe confere o inciso II do parágrafo único do art. 87 da Constituição Federal,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a Lei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8.080, de 19 de setembro de 1990, que dispõe sobre as condições para a promoção, a proteção e a recuperação da saúde, a organização e o funcionamento dos serviços correspondentes e dá outras providências;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a Lei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8.142, de 28 de dezembro de 1990, que dispõe sobre a participação da comunidade na gestão do Sistema Único de Saúde - SUS e sobre as transferências intergovernamentais de recursos financeiros na área da Saúde e dá outras providências;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o Decreto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1.232, de 30 de agosto de 1994, que trata do repasse de recursos federais de saúde a Estados, Distrito Federal e Municípios;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o Decreto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1.651, de 28 de setembro de 1995, que trata da comprovação da aplicação de recursos transferidos aos Estados e aos Municípios;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399/GM, de 22 de fevereiro de 2006, que aprova as Diretrizes Operacionais do Pacto pela Saúde 2006;</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699/GM, de 30 de março de 2006, que regulamenta as Diretrizes Operacionais dos Pactos pela Vida e de Gestão;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Considerando a necessidade, de qualificar o processo de descentralização, organização e gestão das ações e serviços do SUS, assim como de fortalecer seus compromissos e responsabilidades sanitárias, com base no processo de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a responsabilidade conjunta da União, dos Estados, do Distrito Federal e dos Municípios pelo financiamento do Sistema Único de Saúde;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Considerando a necessidade de fortalecer mecanismos gerenciais que permitam ao gestor um melhor acompanhamento das ações de saúde realizadas no âmbito do SUS,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R E S O L V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Regulamentar o financiamento e a transferência dos recursos federais para as ações e os serviços de saúde, na forma de blocos de financiamento, com o respectivo monitoramento e controle.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Capítulo 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DAS DISPOSIÇÕES GERAIS</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 financiamento das ações e serviços de saúde é de responsabilidade das três esferas de gestão do SUS, observado o disposto na Constituição Federal e na Lei Orgânica da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federais destinados às ações e aos serviços de saúde passam a ser organizados e transferidos na forma de blocos de financiamento.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Parágrafo único. Os blocos de financiamento são constituídos por componentes, conforme as especificidades de suas ações e dos serviços de saúde pactuados.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4</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Estabelecer os seguintes blocos de financiamento: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bookmarkStart w:id="0" w:name="OLE_LINK2"/>
      <w:r w:rsidRPr="004A3107">
        <w:rPr>
          <w:rFonts w:ascii="Arial" w:eastAsia="Times New Roman" w:hAnsi="Arial" w:cs="Arial"/>
          <w:sz w:val="24"/>
          <w:szCs w:val="24"/>
          <w:lang w:eastAsia="pt-BR"/>
        </w:rPr>
        <w:t>I - Atenção Básica;</w:t>
      </w:r>
      <w:bookmarkEnd w:id="0"/>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Atenção de Média e Alta Complexidade Ambulatorial e Hospitalar;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Vigilância em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Assistência Farmacêutica;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Gestão do SUS.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5</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federais que compõem cada bloco de financiamento serão transferidos aos Estados, ao Distrito Federal e aos Municípios, fundo a fundo, em conta única e específica para cada bloco de financiamento, observados os atos normativos específicos.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federais provenientes de acordos de empréstimos internacionais serão transferidos conforme seus atos normativos, devendo ser movimentados conforme </w:t>
      </w:r>
      <w:proofErr w:type="gramStart"/>
      <w:r w:rsidRPr="004A3107">
        <w:rPr>
          <w:rFonts w:ascii="Arial" w:eastAsia="Times New Roman" w:hAnsi="Arial" w:cs="Arial"/>
          <w:sz w:val="24"/>
          <w:szCs w:val="24"/>
          <w:lang w:eastAsia="pt-BR"/>
        </w:rPr>
        <w:t>legislação em conta bancária específica, respeitadas</w:t>
      </w:r>
      <w:proofErr w:type="gramEnd"/>
      <w:r w:rsidRPr="004A3107">
        <w:rPr>
          <w:rFonts w:ascii="Arial" w:eastAsia="Times New Roman" w:hAnsi="Arial" w:cs="Arial"/>
          <w:sz w:val="24"/>
          <w:szCs w:val="24"/>
          <w:lang w:eastAsia="pt-BR"/>
        </w:rPr>
        <w:t xml:space="preserve"> as normas estabelecidas em cada acordo firmado.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do bloco da Assistência Farmacêutica devem ser movimentados em contas específicas para cada componente relativo ao bloco.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6</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referentes a cada bloco de financiamento devem ser aplicados nas ações e serviços de saúde relacionados ao próprio bloco.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Aos recursos relativos às unidades públicas próprias não se aplicam as restrições previstas no caput deste artigo.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referentes aos blocos da Atenção Básica, Atenção de Média e Alta Complexidade Ambulatorial e Hospitalar, Vigilância em Saúde e de Gestão do SUS, devem ser utilizados considerando que fica vedada a utilização </w:t>
      </w:r>
      <w:proofErr w:type="gramStart"/>
      <w:r w:rsidRPr="004A3107">
        <w:rPr>
          <w:rFonts w:ascii="Arial" w:eastAsia="Times New Roman" w:hAnsi="Arial" w:cs="Arial"/>
          <w:sz w:val="24"/>
          <w:szCs w:val="24"/>
          <w:lang w:eastAsia="pt-BR"/>
        </w:rPr>
        <w:t>desse</w:t>
      </w:r>
      <w:proofErr w:type="gramEnd"/>
      <w:r w:rsidRPr="004A3107">
        <w:rPr>
          <w:rFonts w:ascii="Arial" w:eastAsia="Times New Roman" w:hAnsi="Arial" w:cs="Arial"/>
          <w:sz w:val="24"/>
          <w:szCs w:val="24"/>
          <w:lang w:eastAsia="pt-BR"/>
        </w:rPr>
        <w:t xml:space="preserve"> para pagamento 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servidores inativos;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servidores ativos, exceto aqueles contratados exclusivamente para desempenhar funções relacionadas aos serviços relativos ao respectivo bloco, previstos no respectivo Plano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gratificação de função de cargos comissionados, exceto aqueles diretamente ligados às funções relacionadas aos serviços relativos ao respectivo bloco, previstos no respectivo Plano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pagamento de assessorias/consultorias prestadas por servidores públicos pertencentes ao quadro do próprio município ou do estado;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obras de construções novas, exceto as que se referem a reformas e adequações de imóveis já existentes, utilizados para a realização de ações e/ou serviços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3</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do bloco de financiamento da Assistência Farmacêutica devem ser aplicados, exclusivamente, nas ações definidas para cada componente do bloco.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4</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 possibilidade de remanejamento dos recursos entre os blocos será regulamentada em portaria específica no prazo de 90 (noventa) dias.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7</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Aos recursos de que tratam os componentes dos blocos de financiamento poderão ser acrescidos de recursos específicos, para atender a situações emergenciais ou inusitadas de riscos sanitários e epidemiológicos, devendo ser aplicados, exclusivamente, em conformidade com o respectivo ato normativo.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8</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que compõem cada bloco de financiamento poderão ser acrescidos de valores específicos, conforme respectiva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Comissão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Tripartite – CIT.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Capítulo II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DOS BLOCOS DE FINANCIAMENTO</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Seção 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 Bloco de Atenção Básica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9</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 bloco da Atenção Básica é constituído por dois componentes: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 </w:t>
      </w:r>
      <w:proofErr w:type="gramStart"/>
      <w:r w:rsidRPr="004A3107">
        <w:rPr>
          <w:rFonts w:ascii="Arial" w:eastAsia="Times New Roman" w:hAnsi="Arial" w:cs="Arial"/>
          <w:sz w:val="24"/>
          <w:szCs w:val="24"/>
          <w:lang w:eastAsia="pt-BR"/>
        </w:rPr>
        <w:t>Componente Piso da Atenção Básica Fixo</w:t>
      </w:r>
      <w:proofErr w:type="gramEnd"/>
      <w:r w:rsidRPr="004A3107">
        <w:rPr>
          <w:rFonts w:ascii="Arial" w:eastAsia="Times New Roman" w:hAnsi="Arial" w:cs="Arial"/>
          <w:sz w:val="24"/>
          <w:szCs w:val="24"/>
          <w:lang w:eastAsia="pt-BR"/>
        </w:rPr>
        <w:t xml:space="preserve"> – PAB Fixo; 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II - Componente Piso da Atenção Básica Variável - PAB Variável.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10.  O Componente Piso da Atenção Básica – PAB Fixo refere-se ao financiamento de ações de atenção básica à saúde, cujos recursos serão transferidos mensalmente, de forma regular e automática, do Fundo Nacional de Saúde aos Fundos de Saúde do Distrito Federal e dos Municípios.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Parágrafo único.  Os recursos do incentivo à descentralização de unidades de saúde da </w:t>
      </w:r>
      <w:proofErr w:type="spellStart"/>
      <w:r w:rsidRPr="004A3107">
        <w:rPr>
          <w:rFonts w:ascii="Arial" w:eastAsia="Times New Roman" w:hAnsi="Arial" w:cs="Arial"/>
          <w:sz w:val="24"/>
          <w:szCs w:val="24"/>
          <w:lang w:eastAsia="pt-BR"/>
        </w:rPr>
        <w:t>Funasa</w:t>
      </w:r>
      <w:proofErr w:type="spellEnd"/>
      <w:r w:rsidRPr="004A3107">
        <w:rPr>
          <w:rFonts w:ascii="Arial" w:eastAsia="Times New Roman" w:hAnsi="Arial" w:cs="Arial"/>
          <w:sz w:val="24"/>
          <w:szCs w:val="24"/>
          <w:lang w:eastAsia="pt-BR"/>
        </w:rPr>
        <w:t>, incorporados ao Componente PAB Fixo, podem ser aplicados no financiamento dessas unidades.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proofErr w:type="spellStart"/>
      <w:r w:rsidRPr="004A3107">
        <w:rPr>
          <w:rFonts w:ascii="Arial" w:eastAsia="Times New Roman" w:hAnsi="Arial" w:cs="Arial"/>
          <w:sz w:val="24"/>
          <w:szCs w:val="24"/>
          <w:lang w:eastAsia="pt-BR"/>
        </w:rPr>
        <w:t>Art</w:t>
      </w:r>
      <w:proofErr w:type="spellEnd"/>
      <w:r w:rsidRPr="004A3107">
        <w:rPr>
          <w:rFonts w:ascii="Arial" w:eastAsia="Times New Roman" w:hAnsi="Arial" w:cs="Arial"/>
          <w:sz w:val="24"/>
          <w:szCs w:val="24"/>
          <w:lang w:eastAsia="pt-BR"/>
        </w:rPr>
        <w:t xml:space="preserve"> 11.  O Componente Piso da Atenção Básica Variável - PAB Variável é constituído por recursos financeiros destinados ao financiamento de estratégias, realizadas no âmbito da atenção básica em saúde, tais como: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Saúde da Família;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Agentes Comunitários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Saúde Bucal;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Compensação de Especificidades Regionais;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Fator de Incentivo de Atenção Básica aos Povos Indígenas;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 - Incentivo para a Atenção à Saúde no Sistema Penitenciário;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 - Incentivo para a Atenção Integral à Saúde do Adolescente em conflito com a lei, em regime de internação e internação provisória;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VIII - outros que venham a ser instituídos por meio de ato normativo específico.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do Componente PAB Variável serão transferidos do Fundo Nacional de Saúde aos Fundos de Saúde do Distrito Federal e dos Municípios, mediante adesão e </w:t>
      </w:r>
      <w:proofErr w:type="gramStart"/>
      <w:r w:rsidRPr="004A3107">
        <w:rPr>
          <w:rFonts w:ascii="Arial" w:eastAsia="Times New Roman" w:hAnsi="Arial" w:cs="Arial"/>
          <w:sz w:val="24"/>
          <w:szCs w:val="24"/>
          <w:lang w:eastAsia="pt-BR"/>
        </w:rPr>
        <w:t>implementação</w:t>
      </w:r>
      <w:proofErr w:type="gramEnd"/>
      <w:r w:rsidRPr="004A3107">
        <w:rPr>
          <w:rFonts w:ascii="Arial" w:eastAsia="Times New Roman" w:hAnsi="Arial" w:cs="Arial"/>
          <w:sz w:val="24"/>
          <w:szCs w:val="24"/>
          <w:lang w:eastAsia="pt-BR"/>
        </w:rPr>
        <w:t xml:space="preserve"> das ações a que se destinam e desde que constantes no respectivo Plano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destinados à estratégia de Compensação de Especificidades Regionais correspondem a 5% do valor mínimo do PAB Fixo multiplicado pela população do Estado.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3</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critérios de aplicação dos recursos de Compensação de Especificidades Regionais devem ser pactuados nas Comissões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Bipartite</w:t>
      </w:r>
      <w:proofErr w:type="spellEnd"/>
      <w:r w:rsidRPr="004A3107">
        <w:rPr>
          <w:rFonts w:ascii="Arial" w:eastAsia="Times New Roman" w:hAnsi="Arial" w:cs="Arial"/>
          <w:sz w:val="24"/>
          <w:szCs w:val="24"/>
          <w:lang w:eastAsia="pt-BR"/>
        </w:rPr>
        <w:t xml:space="preserve"> - CIB e levados ao conhecimento do plenário da CIT, devendo atender a </w:t>
      </w:r>
      <w:proofErr w:type="gramStart"/>
      <w:r w:rsidRPr="004A3107">
        <w:rPr>
          <w:rFonts w:ascii="Arial" w:eastAsia="Times New Roman" w:hAnsi="Arial" w:cs="Arial"/>
          <w:sz w:val="24"/>
          <w:szCs w:val="24"/>
          <w:lang w:eastAsia="pt-BR"/>
        </w:rPr>
        <w:t>especificidades estaduais e transferidos mediante ato normativo específico do Ministério da Saúde</w:t>
      </w:r>
      <w:proofErr w:type="gram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4</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federais referentes aos incentivos para a Atenção à Saúde no Sistema Penitenciário e para a Atenção Integral à Saúde do Adolescente em conflito com a lei, em regime de internação e internação provisória, poderão ser transferidos ao Distrito Federal, aos Estados e aos Municípios, conforme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Comissão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Bipartite</w:t>
      </w:r>
      <w:proofErr w:type="spellEnd"/>
      <w:r w:rsidRPr="004A3107">
        <w:rPr>
          <w:rFonts w:ascii="Arial" w:eastAsia="Times New Roman" w:hAnsi="Arial" w:cs="Arial"/>
          <w:sz w:val="24"/>
          <w:szCs w:val="24"/>
          <w:lang w:eastAsia="pt-BR"/>
        </w:rPr>
        <w:t xml:space="preserve"> – CIB.</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5</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do Componente PAB Variável correspondentes atualmente às ações de assistência farmacêutica e de vigilância sanitária passam a integrar o bloco de financiamento da Assistência Farmacêutica e o da Vigilância em Saúde, respectivamente.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12.  O detalhamento do financiamento referente ao bloco da Atenção Básica está definido nas Portarias GM/MS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648, de 28 de março de 2006,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649, de 28 de março de 2006,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650, de 28 de março de 2006,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822, de 17 de abril de 2006,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847, de </w:t>
      </w:r>
      <w:proofErr w:type="gramStart"/>
      <w:r w:rsidRPr="004A3107">
        <w:rPr>
          <w:rFonts w:ascii="Arial" w:eastAsia="Times New Roman" w:hAnsi="Arial" w:cs="Arial"/>
          <w:sz w:val="24"/>
          <w:szCs w:val="24"/>
          <w:lang w:eastAsia="pt-BR"/>
        </w:rPr>
        <w:t>2</w:t>
      </w:r>
      <w:proofErr w:type="gramEnd"/>
      <w:r w:rsidRPr="004A3107">
        <w:rPr>
          <w:rFonts w:ascii="Arial" w:eastAsia="Times New Roman" w:hAnsi="Arial" w:cs="Arial"/>
          <w:sz w:val="24"/>
          <w:szCs w:val="24"/>
          <w:lang w:eastAsia="pt-BR"/>
        </w:rPr>
        <w:t xml:space="preserve"> de junho de 2005, na Portaria SAS/MS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340, de 14 de julho de 2004, na Portaria Interministerial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1.777, de 9 de setembro de 2003 e na Portaria Interministerial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1.426, de 14 de julho de 2004.</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Seção II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 Bloco de Atenção de Média e Alta Complexidade</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Ambulatorial e Hospitalar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13.  O bloco da Atenção de Média e Alta Complexidade Ambulatorial e Hospitalar será constituído por dois componentes: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 - Componente Limite Financeiro da Média e Alta Complexidade Ambulatorial e Hospitalar – MAC; 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Componente Fundo de Ações Estratégicas e Compensação – FAEC.</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14. O Componente Limite Financeiro da Média e Alta Complexidade Ambulatorial e Hospitalar – MAC dos Estados, do Distrito Federal e dos Municípios será destinado ao financiamento de ações de média e alta complexidade em saúde e de incentivos transferidos mensalmente.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incentivos do Componente Limite Financeiro MAC incluem aqueles atualmente designados: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Centro de Especialidades Odontológicas - CEO;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Serviço de Atendimento Móvel de Urgência - SAMU;</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Centro de Referência em Saúde do Trabalhador;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IV - Adesão à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dos Hospitais de Ensino, dos Hospitais de Pequeno Porte e dos Hospitais Filantrópicos;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Fator de Incentivo ao Desenvolvimento do Ensino e da Pesquisa Universitária em Saúde – FIDEPS;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 - Programa de Incentivo de Assistência à População Indígena – IAPI;</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 - Incentivo de Integração do SUS – INTEGRASUS;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VIII - outros que venham a ser instituídos por meio de ato normativo.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federais de que trata este artigo, serão transferidos do Fundo Nacional de Saúde aos Fundos de Saúde dos Estados, do Distrito Federal e dos Municípios, conforme a Programação Pactuada e Integrada, publicada em ato normativo específico.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Art. 15.  Os procedimentos ambulatoriais e hospitalares de média e alta complexidade, atualmente financiados pelo FAEC, serão gradativamente incorporados ao Componente Limite Financeiro MAC dos Estados, do Distrito Federal e dos Municípios e devem ser publicados em portarias específicas, conforme cronograma e critérios a serem pactuados na CIT.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Parágrafo único.  Enquanto o procedimento não for incorporado ao componente Limite financeiro MAC, este será financiado pelo Componente FAEC.</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16.  O Componente Fundo de Ações Estratégicas e Compensação – FAEC, considerando o  disposto no artigo 15, será composto pelos recursos destinados ao financiamento dos seguintes itens: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procedimentos regulados pela Central Nacional de Regulação da Alta Complexidade – CNRAC;</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transplantes e procedimentos vinculados;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III - ações estratégicas ou emergenciais, de caráter temporário, e </w:t>
      </w:r>
      <w:proofErr w:type="gramStart"/>
      <w:r w:rsidRPr="004A3107">
        <w:rPr>
          <w:rFonts w:ascii="Arial" w:eastAsia="Times New Roman" w:hAnsi="Arial" w:cs="Arial"/>
          <w:sz w:val="24"/>
          <w:szCs w:val="24"/>
          <w:lang w:eastAsia="pt-BR"/>
        </w:rPr>
        <w:t>implementadas</w:t>
      </w:r>
      <w:proofErr w:type="gramEnd"/>
      <w:r w:rsidRPr="004A3107">
        <w:rPr>
          <w:rFonts w:ascii="Arial" w:eastAsia="Times New Roman" w:hAnsi="Arial" w:cs="Arial"/>
          <w:sz w:val="24"/>
          <w:szCs w:val="24"/>
          <w:lang w:eastAsia="pt-BR"/>
        </w:rPr>
        <w:t xml:space="preserve"> com prazo pré-definido;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novos procedimentos, não relacionados aos constantes da tabela vigente ou que não possuam parâmetros para permitir a definição de limite de financiamento, por um período de seis meses, com vistas a permitir a formação de série histórica necessária à sua agregação ao Componente Limite Financeiro da Atenção de Média e Alta Complexidade Ambulatorial e Hospitalar – MAC.</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Projetos de Cirurgia Eletiva de Média Complexidade são financiados por meio do Componente FAEC, classificados  no inciso III do caput deste artigo.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17.  Os procedimentos da atenção básica, atualmente financiados pelo FAEC, serão incorporados ao bloco de Atenção Básica dos Municípios e do Distrito Federal, conforme o cronograma previsto no artigo 15 desta Portaria: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 - 0705101-8 Coleta de material para exames </w:t>
      </w:r>
      <w:proofErr w:type="spellStart"/>
      <w:r w:rsidRPr="004A3107">
        <w:rPr>
          <w:rFonts w:ascii="Arial" w:eastAsia="Times New Roman" w:hAnsi="Arial" w:cs="Arial"/>
          <w:sz w:val="24"/>
          <w:szCs w:val="24"/>
          <w:lang w:eastAsia="pt-BR"/>
        </w:rPr>
        <w:t>citopatológicos</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- 0705103-4 Coleta de sangue para triagem neonatal;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- 0707102-7 Adesão ao componente I – Incentivo à Assistência pré-natal;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IV - 0707103-5 Conclusão da Assistência </w:t>
      </w:r>
      <w:proofErr w:type="spellStart"/>
      <w:r w:rsidRPr="004A3107">
        <w:rPr>
          <w:rFonts w:ascii="Arial" w:eastAsia="Times New Roman" w:hAnsi="Arial" w:cs="Arial"/>
          <w:sz w:val="24"/>
          <w:szCs w:val="24"/>
          <w:lang w:eastAsia="pt-BR"/>
        </w:rPr>
        <w:t>Pré-natal</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Seção III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 Bloco de Vigilância em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18.  Os recursos que compõem o Bloco Financeiro de Vigilância em Saúde dos Municípios, do Distrito Federal e dos Estados representam o agrupamento das ações da Vigilância Epidemiológica e Ambiental em Saúde e Vigilância Sanitária.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19.  O bloco de financiamento para a Vigilância em Saúde é constituído por dois componentes: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 - Componente da Vigilância Epidemiológica e Ambiental em Saúde; 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II - Componente da Vigilância Sanitária.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de um componente podem ser utilizados em ações do outro componente.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deste bloco de financiamento devem ser utilizados conforme a Programação Pactuada e Integrada e a orientação do respectivo Plano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20.  O Componente da Vigilância Epidemiológica e Ambiental em Saúde refere-se aos recursos federais destinados às ações de Vigilância, Prevenção e Controle de Doenças, composto pelo atual Teto Financeiro de Vigilância em Saúde – TFVS e também pelos seguintes incentivos: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Subsistema de Vigilância Epidemiológica em Âmbito Hospitalar;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Laboratórios de Saúde Pública;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Atividade de Promoção à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Registro de Câncer de Base Populacional;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Serviço de Verificação de Óbito;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 - Campanhas de Vacinação;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VII - Monitoramento de Resistência a Inseticidas para o </w:t>
      </w:r>
      <w:proofErr w:type="spellStart"/>
      <w:r w:rsidRPr="004A3107">
        <w:rPr>
          <w:rFonts w:ascii="Arial" w:eastAsia="Times New Roman" w:hAnsi="Arial" w:cs="Arial"/>
          <w:sz w:val="24"/>
          <w:szCs w:val="24"/>
          <w:lang w:eastAsia="pt-BR"/>
        </w:rPr>
        <w:t>Aedes</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aegypti</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VIII - Contratação dos Agentes de Campo;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IX - DST/</w:t>
      </w:r>
      <w:proofErr w:type="spellStart"/>
      <w:proofErr w:type="gramStart"/>
      <w:r w:rsidRPr="004A3107">
        <w:rPr>
          <w:rFonts w:ascii="Arial" w:eastAsia="Times New Roman" w:hAnsi="Arial" w:cs="Arial"/>
          <w:sz w:val="24"/>
          <w:szCs w:val="24"/>
          <w:lang w:eastAsia="pt-BR"/>
        </w:rPr>
        <w:t>Aids</w:t>
      </w:r>
      <w:proofErr w:type="spellEnd"/>
      <w:proofErr w:type="gramEnd"/>
      <w:r w:rsidRPr="004A3107">
        <w:rPr>
          <w:rFonts w:ascii="Arial" w:eastAsia="Times New Roman" w:hAnsi="Arial" w:cs="Arial"/>
          <w:sz w:val="24"/>
          <w:szCs w:val="24"/>
          <w:lang w:eastAsia="pt-BR"/>
        </w:rPr>
        <w:t>;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X - outros que venham a ser instituídos por meio de ato normativo específico.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Os recursos federais destinados à contratação de pessoal para execução de atividades de campo no combate ao vetor transmissor da dengue serão alocados ao Componente da Vigilância Epidemiológica e Ambiental em Saúde, na medida em que se comprove a efetiva contratação dos agentes de campo.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Serão incorporados ao item II deste artigo - Laboratórios de Saúde Pública, os recursos da Vigilância Sanitária destinados a ações de apoio laboratorial.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21.  No Componente Vigilância Epidemiológica e Ambiental em Saúde também estão incluídos recursos federais, provenientes de acordos internacionais, destinados às seguintes finalidades: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fortalecimento da Gestão da Vigilância em Saúde nos Estados, no Distrito Federal e nos Municípios (VIGISUS II); e</w:t>
      </w:r>
    </w:p>
    <w:p w:rsidR="00FE4BCC" w:rsidRPr="004A3107" w:rsidRDefault="00FE4BCC" w:rsidP="00FE4BCC">
      <w:pPr>
        <w:spacing w:after="0" w:line="240" w:lineRule="auto"/>
        <w:ind w:firstLine="567"/>
        <w:jc w:val="both"/>
        <w:rPr>
          <w:rFonts w:ascii="Arial" w:eastAsia="Times New Roman" w:hAnsi="Arial" w:cs="Arial"/>
          <w:sz w:val="24"/>
          <w:szCs w:val="24"/>
          <w:lang w:val="en-US" w:eastAsia="pt-BR"/>
        </w:rPr>
      </w:pPr>
      <w:proofErr w:type="gramStart"/>
      <w:r w:rsidRPr="004A3107">
        <w:rPr>
          <w:rFonts w:ascii="Arial" w:eastAsia="Times New Roman" w:hAnsi="Arial" w:cs="Arial"/>
          <w:sz w:val="24"/>
          <w:szCs w:val="24"/>
          <w:lang w:val="en-US" w:eastAsia="pt-BR"/>
        </w:rPr>
        <w:t>II - Programa DST/AIDS.</w:t>
      </w:r>
      <w:proofErr w:type="gramEnd"/>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val="en-US" w:eastAsia="pt-BR"/>
        </w:rPr>
        <w:t xml:space="preserve">Art. 22.  </w:t>
      </w:r>
      <w:r w:rsidRPr="004A3107">
        <w:rPr>
          <w:rFonts w:ascii="Arial" w:eastAsia="Times New Roman" w:hAnsi="Arial" w:cs="Arial"/>
          <w:sz w:val="24"/>
          <w:szCs w:val="24"/>
          <w:lang w:eastAsia="pt-BR"/>
        </w:rPr>
        <w:t>O Componente da Vigilância Sanitária refere-se aos recursos federais destinados às ações de vigilância sanitária, denominado Teto Financeiro de Vigilância Sanitária – TFVISA, o qual será regulamentado em portaria específica a ser publicada pelo Ministério da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Art. 23. O detalhamento do financiamento referente ao bloco da Vigilância em Saúde está definido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1.172/GM, de 15 de junho de 2004,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2.529/GM, de 23 de novembro de 2004,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2.607/GM, de 28 de dezembro de 2005,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2.608/GM, de 28 de dezembro de 2005 e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2.606/GM, de 28 de dezembro de 2005.</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Seção IV</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 Bloco de Assistência Farmacêutica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24.  O bloco de financiamento para a Assistência Farmacêutica será constituído por três componentes: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 - Componente Básico da Assistência Farmacêutica;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 - Componente Estratégico da Assistência Farmacêutica; 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III - Componente de Medicamentos de </w:t>
      </w:r>
      <w:proofErr w:type="spellStart"/>
      <w:r w:rsidRPr="004A3107">
        <w:rPr>
          <w:rFonts w:ascii="Arial" w:eastAsia="Times New Roman" w:hAnsi="Arial" w:cs="Arial"/>
          <w:sz w:val="24"/>
          <w:szCs w:val="24"/>
          <w:lang w:eastAsia="pt-BR"/>
        </w:rPr>
        <w:t>Dispensação</w:t>
      </w:r>
      <w:proofErr w:type="spellEnd"/>
      <w:r w:rsidRPr="004A3107">
        <w:rPr>
          <w:rFonts w:ascii="Arial" w:eastAsia="Times New Roman" w:hAnsi="Arial" w:cs="Arial"/>
          <w:sz w:val="24"/>
          <w:szCs w:val="24"/>
          <w:lang w:eastAsia="pt-BR"/>
        </w:rPr>
        <w:t xml:space="preserve"> Excepcional.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25.  O Componente Básico da Assistência Farmacêutica destina-se à aquisição de medicamentos e insumos da assistência farmacêutica no âmbito da atenção básica em saúde e àqueles relacionados a agravos e programas de saúde específicos, no âmbito da atenção básica.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O Componente Básico da Assistência Farmacêutica é composto de uma Parte Financeira Fixa e de uma Parte Financeira Variável.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A Parte Financeira Fixa do Componente Básico da Assistência Farmacêutica consiste em um valor per capita, destinado à aquisição de medicamentos e insumos da assistência farmacêutica em atenção básica, transferido aos Estados, ao Distrito Federal e (ou) Municípios, conforme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nas Comissões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Bipartite</w:t>
      </w:r>
      <w:proofErr w:type="spellEnd"/>
      <w:r w:rsidRPr="004A3107">
        <w:rPr>
          <w:rFonts w:ascii="Arial" w:eastAsia="Times New Roman" w:hAnsi="Arial" w:cs="Arial"/>
          <w:sz w:val="24"/>
          <w:szCs w:val="24"/>
          <w:lang w:eastAsia="pt-BR"/>
        </w:rPr>
        <w:t xml:space="preserve"> - CIB.</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3</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gestores estaduais e municipais devem compor o financiamento da Parte Fixa do Componente Básico, como contrapartida, em recursos financeiros, medicamentos ou insumos, conforme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CIB e normatização da Política de Assistência Farmacêutica vigente.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4</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 Parte Financeira Variável do Componente Básico da Assistência Farmacêutica consiste em valores per capita, destinados à aquisição de medicamentos e insumos da assistência farmacêutica dos Programas de Hipertensão e Diabetes, Asma e Rinite, Saúde Mental, Saúde da Mulher, Alimentação e Nutrição e Combate ao Tabagismo.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5</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da Parte Variável do Componente Básico da Assistência Farmacêutica referentes a medicamentos para os Programas de Asma e Rinite, Hipertensão e Diabetes, devem ser descentralizados para Estados, Distrito Federal ou Municípios, conforme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Comissão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Bipartite</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6</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demais recursos da Parte Variável do Componente Básico da Assistência Farmacêutica poderão ser executados centralizadamente pelo Ministério da Saúde ou descentralizados aos Estados, ao Distrito Federal e aos Municípios, conforme </w:t>
      </w:r>
      <w:proofErr w:type="spellStart"/>
      <w:r w:rsidRPr="004A3107">
        <w:rPr>
          <w:rFonts w:ascii="Arial" w:eastAsia="Times New Roman" w:hAnsi="Arial" w:cs="Arial"/>
          <w:sz w:val="24"/>
          <w:szCs w:val="24"/>
          <w:lang w:eastAsia="pt-BR"/>
        </w:rPr>
        <w:lastRenderedPageBreak/>
        <w:t>pactuação</w:t>
      </w:r>
      <w:proofErr w:type="spellEnd"/>
      <w:r w:rsidRPr="004A3107">
        <w:rPr>
          <w:rFonts w:ascii="Arial" w:eastAsia="Times New Roman" w:hAnsi="Arial" w:cs="Arial"/>
          <w:sz w:val="24"/>
          <w:szCs w:val="24"/>
          <w:lang w:eastAsia="pt-BR"/>
        </w:rPr>
        <w:t xml:space="preserve"> na Comissão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Tripartite e, posteriormente, nas Comissões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Bipartite</w:t>
      </w:r>
      <w:proofErr w:type="spellEnd"/>
      <w:r w:rsidRPr="004A3107">
        <w:rPr>
          <w:rFonts w:ascii="Arial" w:eastAsia="Times New Roman" w:hAnsi="Arial" w:cs="Arial"/>
          <w:sz w:val="24"/>
          <w:szCs w:val="24"/>
          <w:lang w:eastAsia="pt-BR"/>
        </w:rPr>
        <w:t xml:space="preserve">, mediante a </w:t>
      </w:r>
      <w:proofErr w:type="gramStart"/>
      <w:r w:rsidRPr="004A3107">
        <w:rPr>
          <w:rFonts w:ascii="Arial" w:eastAsia="Times New Roman" w:hAnsi="Arial" w:cs="Arial"/>
          <w:sz w:val="24"/>
          <w:szCs w:val="24"/>
          <w:lang w:eastAsia="pt-BR"/>
        </w:rPr>
        <w:t>implementação</w:t>
      </w:r>
      <w:proofErr w:type="gramEnd"/>
      <w:r w:rsidRPr="004A3107">
        <w:rPr>
          <w:rFonts w:ascii="Arial" w:eastAsia="Times New Roman" w:hAnsi="Arial" w:cs="Arial"/>
          <w:sz w:val="24"/>
          <w:szCs w:val="24"/>
          <w:lang w:eastAsia="pt-BR"/>
        </w:rPr>
        <w:t xml:space="preserve"> e a organização dos serviços previstos nesses programas.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7</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destinados ao medicamento Insulina Humana, do grupo de medicamentos do Programa Hipertensão e Diabetes, serão executados centralizadamente pelo Ministério da Saúde, conforme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CIT.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26.  O Componente Estratégico da Assistência Farmacêutica destina-se ao financiamento de ações de assistência farmacêutica dos seguintes programas de saúde estratégicos: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controle de endemias, tais como a tuberculose, a hanseníase, a malária, a leishmaniose, a doença de chagas e outras doenças endêmicas de abrangência nacional ou regional;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 - </w:t>
      </w:r>
      <w:proofErr w:type="spellStart"/>
      <w:r w:rsidRPr="004A3107">
        <w:rPr>
          <w:rFonts w:ascii="Arial" w:eastAsia="Times New Roman" w:hAnsi="Arial" w:cs="Arial"/>
          <w:sz w:val="24"/>
          <w:szCs w:val="24"/>
          <w:lang w:eastAsia="pt-BR"/>
        </w:rPr>
        <w:t>anti-retrovirais</w:t>
      </w:r>
      <w:proofErr w:type="spellEnd"/>
      <w:r w:rsidRPr="004A3107">
        <w:rPr>
          <w:rFonts w:ascii="Arial" w:eastAsia="Times New Roman" w:hAnsi="Arial" w:cs="Arial"/>
          <w:sz w:val="24"/>
          <w:szCs w:val="24"/>
          <w:lang w:eastAsia="pt-BR"/>
        </w:rPr>
        <w:t xml:space="preserve"> do programa DST/</w:t>
      </w:r>
      <w:proofErr w:type="spellStart"/>
      <w:proofErr w:type="gramStart"/>
      <w:r w:rsidRPr="004A3107">
        <w:rPr>
          <w:rFonts w:ascii="Arial" w:eastAsia="Times New Roman" w:hAnsi="Arial" w:cs="Arial"/>
          <w:sz w:val="24"/>
          <w:szCs w:val="24"/>
          <w:lang w:eastAsia="pt-BR"/>
        </w:rPr>
        <w:t>Aids</w:t>
      </w:r>
      <w:proofErr w:type="spellEnd"/>
      <w:proofErr w:type="gram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III - sangue e </w:t>
      </w:r>
      <w:proofErr w:type="spellStart"/>
      <w:r w:rsidRPr="004A3107">
        <w:rPr>
          <w:rFonts w:ascii="Arial" w:eastAsia="Times New Roman" w:hAnsi="Arial" w:cs="Arial"/>
          <w:sz w:val="24"/>
          <w:szCs w:val="24"/>
          <w:lang w:eastAsia="pt-BR"/>
        </w:rPr>
        <w:t>hemoderivados</w:t>
      </w:r>
      <w:proofErr w:type="spellEnd"/>
      <w:r w:rsidRPr="004A3107">
        <w:rPr>
          <w:rFonts w:ascii="Arial" w:eastAsia="Times New Roman" w:hAnsi="Arial" w:cs="Arial"/>
          <w:sz w:val="24"/>
          <w:szCs w:val="24"/>
          <w:lang w:eastAsia="pt-BR"/>
        </w:rPr>
        <w:t>;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IV - </w:t>
      </w:r>
      <w:proofErr w:type="spellStart"/>
      <w:r w:rsidRPr="004A3107">
        <w:rPr>
          <w:rFonts w:ascii="Arial" w:eastAsia="Times New Roman" w:hAnsi="Arial" w:cs="Arial"/>
          <w:sz w:val="24"/>
          <w:szCs w:val="24"/>
          <w:lang w:eastAsia="pt-BR"/>
        </w:rPr>
        <w:t>imunobiológicos</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27.  </w:t>
      </w:r>
      <w:proofErr w:type="gramStart"/>
      <w:r w:rsidRPr="004A3107">
        <w:rPr>
          <w:rFonts w:ascii="Arial" w:eastAsia="Times New Roman" w:hAnsi="Arial" w:cs="Arial"/>
          <w:sz w:val="24"/>
          <w:szCs w:val="24"/>
          <w:lang w:eastAsia="pt-BR"/>
        </w:rPr>
        <w:t>O Componente Medicamentos</w:t>
      </w:r>
      <w:proofErr w:type="gramEnd"/>
      <w:r w:rsidRPr="004A3107">
        <w:rPr>
          <w:rFonts w:ascii="Arial" w:eastAsia="Times New Roman" w:hAnsi="Arial" w:cs="Arial"/>
          <w:sz w:val="24"/>
          <w:szCs w:val="24"/>
          <w:lang w:eastAsia="pt-BR"/>
        </w:rPr>
        <w:t xml:space="preserve"> de </w:t>
      </w:r>
      <w:proofErr w:type="spellStart"/>
      <w:r w:rsidRPr="004A3107">
        <w:rPr>
          <w:rFonts w:ascii="Arial" w:eastAsia="Times New Roman" w:hAnsi="Arial" w:cs="Arial"/>
          <w:sz w:val="24"/>
          <w:szCs w:val="24"/>
          <w:lang w:eastAsia="pt-BR"/>
        </w:rPr>
        <w:t>Dispensação</w:t>
      </w:r>
      <w:proofErr w:type="spellEnd"/>
      <w:r w:rsidRPr="004A3107">
        <w:rPr>
          <w:rFonts w:ascii="Arial" w:eastAsia="Times New Roman" w:hAnsi="Arial" w:cs="Arial"/>
          <w:sz w:val="24"/>
          <w:szCs w:val="24"/>
          <w:lang w:eastAsia="pt-BR"/>
        </w:rPr>
        <w:t xml:space="preserve"> Excepcional – CMDE destina-se ao financiamento de Medicamentos de </w:t>
      </w:r>
      <w:proofErr w:type="spellStart"/>
      <w:r w:rsidRPr="004A3107">
        <w:rPr>
          <w:rFonts w:ascii="Arial" w:eastAsia="Times New Roman" w:hAnsi="Arial" w:cs="Arial"/>
          <w:sz w:val="24"/>
          <w:szCs w:val="24"/>
          <w:lang w:eastAsia="pt-BR"/>
        </w:rPr>
        <w:t>Dispensação</w:t>
      </w:r>
      <w:proofErr w:type="spellEnd"/>
      <w:r w:rsidRPr="004A3107">
        <w:rPr>
          <w:rFonts w:ascii="Arial" w:eastAsia="Times New Roman" w:hAnsi="Arial" w:cs="Arial"/>
          <w:sz w:val="24"/>
          <w:szCs w:val="24"/>
          <w:lang w:eastAsia="pt-BR"/>
        </w:rPr>
        <w:t xml:space="preserve"> Excepcional, para aquisição e distribuição do grupo de medicamentos, conforme critérios estabelecidos em portaria específica.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 financiamento para aquisição dos medicamentos do Componente de Medicamentos de </w:t>
      </w:r>
      <w:proofErr w:type="spellStart"/>
      <w:r w:rsidRPr="004A3107">
        <w:rPr>
          <w:rFonts w:ascii="Arial" w:eastAsia="Times New Roman" w:hAnsi="Arial" w:cs="Arial"/>
          <w:sz w:val="24"/>
          <w:szCs w:val="24"/>
          <w:lang w:eastAsia="pt-BR"/>
        </w:rPr>
        <w:t>Dispensação</w:t>
      </w:r>
      <w:proofErr w:type="spellEnd"/>
      <w:r w:rsidRPr="004A3107">
        <w:rPr>
          <w:rFonts w:ascii="Arial" w:eastAsia="Times New Roman" w:hAnsi="Arial" w:cs="Arial"/>
          <w:sz w:val="24"/>
          <w:szCs w:val="24"/>
          <w:lang w:eastAsia="pt-BR"/>
        </w:rPr>
        <w:t xml:space="preserve"> Excepcional é de responsabilidade do Ministério da Saúde e dos Estados, conforme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Comissão </w:t>
      </w:r>
      <w:proofErr w:type="spellStart"/>
      <w:r w:rsidRPr="004A3107">
        <w:rPr>
          <w:rFonts w:ascii="Arial" w:eastAsia="Times New Roman" w:hAnsi="Arial" w:cs="Arial"/>
          <w:sz w:val="24"/>
          <w:szCs w:val="24"/>
          <w:lang w:eastAsia="pt-BR"/>
        </w:rPr>
        <w:t>Intergestores</w:t>
      </w:r>
      <w:proofErr w:type="spellEnd"/>
      <w:r w:rsidRPr="004A3107">
        <w:rPr>
          <w:rFonts w:ascii="Arial" w:eastAsia="Times New Roman" w:hAnsi="Arial" w:cs="Arial"/>
          <w:sz w:val="24"/>
          <w:szCs w:val="24"/>
          <w:lang w:eastAsia="pt-BR"/>
        </w:rPr>
        <w:t xml:space="preserve"> Tripartite - CIT.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Os recursos do Ministério da Saúde aplicados no financiamento do CMDE terão como base a emissão e aprovação das Autorizações de Procedimentos de Alta Complexidade/Alto Custo – APAC, emitidas pelos gestores estaduais, vinculadas à efetiva </w:t>
      </w:r>
      <w:proofErr w:type="spellStart"/>
      <w:r w:rsidRPr="004A3107">
        <w:rPr>
          <w:rFonts w:ascii="Arial" w:eastAsia="Times New Roman" w:hAnsi="Arial" w:cs="Arial"/>
          <w:sz w:val="24"/>
          <w:szCs w:val="24"/>
          <w:lang w:eastAsia="pt-BR"/>
        </w:rPr>
        <w:t>dispensação</w:t>
      </w:r>
      <w:proofErr w:type="spellEnd"/>
      <w:r w:rsidRPr="004A3107">
        <w:rPr>
          <w:rFonts w:ascii="Arial" w:eastAsia="Times New Roman" w:hAnsi="Arial" w:cs="Arial"/>
          <w:sz w:val="24"/>
          <w:szCs w:val="24"/>
          <w:lang w:eastAsia="pt-BR"/>
        </w:rPr>
        <w:t xml:space="preserve"> do medicamento e de acordo com os critérios técnicos definidos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2.577/GM, de 27 de outubro de 2006.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3</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Trimestralmente, o Ministério da Saúde publicará portaria com os valores a serem transferidos mensalmente às Secretarias Estaduais de Saúde, apurados com base na média trimestral das Autorizações de Procedimentos de Alta Complexidade/Alto Custo – APAC, emitidas e aprovadas conforme critérios e valores de referência indicados para o Grupo 36 da Tabela SIA/SUS.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Seção V</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 Bloco de Gestão do SUS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28.  O bloco de financiamento de Gestão do SUS tem a finalidade de apoiar a </w:t>
      </w:r>
      <w:proofErr w:type="gramStart"/>
      <w:r w:rsidRPr="004A3107">
        <w:rPr>
          <w:rFonts w:ascii="Arial" w:eastAsia="Times New Roman" w:hAnsi="Arial" w:cs="Arial"/>
          <w:sz w:val="24"/>
          <w:szCs w:val="24"/>
          <w:lang w:eastAsia="pt-BR"/>
        </w:rPr>
        <w:t>implementação</w:t>
      </w:r>
      <w:proofErr w:type="gramEnd"/>
      <w:r w:rsidRPr="004A3107">
        <w:rPr>
          <w:rFonts w:ascii="Arial" w:eastAsia="Times New Roman" w:hAnsi="Arial" w:cs="Arial"/>
          <w:sz w:val="24"/>
          <w:szCs w:val="24"/>
          <w:lang w:eastAsia="pt-BR"/>
        </w:rPr>
        <w:t xml:space="preserve"> de ações e serviços que contribuem para a organização e eficiência do sistema.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29.  O bloco de financiamento para a Gestão do SUS é constituído de dois componentes: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xml:space="preserve">I - Componente para a Qualificação da Gestão do SUS; 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Componente para a Implantação de Ações e Serviços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Parágrafo único. O detalhamento do financiamento das ações referentes a esses componentes, para 2007, encontra-se no Anexo II a esta Portaria.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30.  O Componente para a Qualificação da Gestão do SUS apoiará as ações 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Regulação, Controle, Avaliação, Auditoria e Monitoramento;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Planejamento e Orçamento;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Programação;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Regionalização;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Gestão do Trabalho;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 - Educação em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 - Incentivo à Participação e Controle Social;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VIII – Informação e Informática em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IX - Estruturação de serviços e organização de ações de assistência farmacêutica;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X - outros que vierem a ser instituídos por meio de ato normativo específico.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 transferência dos recursos no âmbito deste Componente dar-se-á mediante a adesão ao Pacto pela Saúde, por meio da assinatura do Termo de Compromisso de Gestão e respeitados os critérios estabelecidos em ato normativo específico e no Anexo II a esta Portaria, com incentivo específico para cada ação que integra o Componente.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31.  O Componente para a Implantação de Ações e Serviços de Saúde inclui os incentivos atualmente designados: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implantação de Centros de Atenção Psicossocial;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qualificação de Centros de Atenção Psicossocial;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implantação de Residências Terapêuticas em Saúde Mental;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fomento para ações de redução de danos em CAPS AD;</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inclusão social pelo trabalho para pessoas portadoras de transtornos mentais e outros transtornos decorrentes do uso de álcool e outras drogas;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 - implantação de Centros de Especialidades Odontológicas – CEO;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VII - implantação do Serviço de Atendimento Móvel de Urgência – SAMU;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VIII - reestruturação dos Hospitais Colônias de Hanseníase;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IX - implantação de Centros de Referência em Saúde do Trabalhador;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X - adesão à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dos Hospitais de Ensino;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XI - outros que vierem a ser instituídos por meio de ato normativo para fins de implantação de políticas específicas.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Parágrafo único.  A transferência dos recursos do Componente de Implantação de Ações e Serviços de Saúde será efetivada em parcela única, respeitados os critérios estabelecidos em cada política específica.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CAPÍTULO III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DO MONITORAMENTO E CONTROLE DOS RECURSOS FINANCEIROS</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TRANSFERIDOS FUNDO A FUNDO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32.  A comprovação da aplicação dos recursos repassados pelo Fundo Nacional de Saúde aos fundos de saúde dos Estados, do Distrito Federal e dos Municípios, far-se-á para o Ministério da Saúde, mediante relatório de gestão, que deve ser elaborado anualmente e aprovado pelo respectivo Conselho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1</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 regulamentação do Relatório de Gestão encontra-se na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3.332/GM, de 28 de dezembro de 2006.</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2</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A regulamentação do fluxo para a comprovação da aplicação dos recursos fundo a fundo, objeto desta Portaria, será realizada em portaria específica, no prazo de 60 (sessenta) dias.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33.  Os órgãos de monitoramento, regulação, controle e avaliação do Ministério da Saúde devem proceder à análise dos relatórios de gestão, com vistas a identificar situações que possam subsidiar a atualização das políticas de saúde, obter informações para a tomada de decisões na sua área de competência e indicar a realização de auditoria e fiscalização pelo componente federal do SNA, podendo ser integrada com os demais componentes.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34.  As despesas referentes ao recurso federal transferido fundo a fundo devem ser efetuadas segundo as exigências legais requeridas a quaisquer outras despesas da Administração Pública (processamento, empenho, liquidação e efetivação do pagamento), mantendo a respectiva documentação administrativa e fiscal pelo período mínimo legal exigido.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bookmarkStart w:id="1" w:name="OLE_LINK1"/>
      <w:r w:rsidRPr="004A3107">
        <w:rPr>
          <w:rFonts w:ascii="Arial" w:eastAsia="Times New Roman" w:hAnsi="Arial" w:cs="Arial"/>
          <w:sz w:val="24"/>
          <w:szCs w:val="24"/>
          <w:lang w:eastAsia="pt-BR"/>
        </w:rPr>
        <w:t xml:space="preserve">Art. </w:t>
      </w:r>
      <w:bookmarkEnd w:id="1"/>
      <w:r w:rsidRPr="004A3107">
        <w:rPr>
          <w:rFonts w:ascii="Arial" w:eastAsia="Times New Roman" w:hAnsi="Arial" w:cs="Arial"/>
          <w:sz w:val="24"/>
          <w:szCs w:val="24"/>
          <w:lang w:eastAsia="pt-BR"/>
        </w:rPr>
        <w:t>35.  Os recursos que formam cada bloco e seus respectivos componentes, bem como os montantes financeiros transferidos aos Estados, ao Distrito Federal e aos Municípios, devem estar expressos em memórias de cálculo, para fins de histórico e monitoramento, respeitada a especificidade de cada bloco conforme modelos constantes no Anexo I (a, b, c, d,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36.  O controle e acompanhamento das ações e serviços financiados pelos blocos de financiamento devem ser efetuados, por meio dos instrumentos específicos adotados pelo Ministério da Saúde, cabendo aos Estados, ao Distrito Federal e aos Municípios a prestação de informações de forma regular e sistemática, sem prejuízo do estabelecido no artigo 32.</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37.  As transferências fundo a fundo do Ministério da Saúde para os Estados, Distrito Federal e os Municípios serão suspensas nas seguintes situações: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I - referentes ao bloco da Atenção Básica, quando da falta de alimentação dos Bancos de Dados Nacionais estabelecidos como obrigatórios, por dois meses consecutivos ou três meses alternados, no prazo de um ano e para o bloco da Atenção de Média e Alta Complexidade Ambulatorial e Hospitalar quando se tratar dos Bancos de Dados Nacionais SIA, SIH e CNES;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 - referentes ao bloco da Atenção de Média e Alta Complexidade Ambulatorial e Hospitalar, quando do não-pagamento aos prestadores de serviços públicos ou privados, hospitalares e ambulatoriais, até o quinto dia útil, após o Ministério </w:t>
      </w:r>
      <w:proofErr w:type="gramStart"/>
      <w:r w:rsidRPr="004A3107">
        <w:rPr>
          <w:rFonts w:ascii="Arial" w:eastAsia="Times New Roman" w:hAnsi="Arial" w:cs="Arial"/>
          <w:sz w:val="24"/>
          <w:szCs w:val="24"/>
          <w:lang w:eastAsia="pt-BR"/>
        </w:rPr>
        <w:t>da Saúde creditar</w:t>
      </w:r>
      <w:proofErr w:type="gramEnd"/>
      <w:r w:rsidRPr="004A3107">
        <w:rPr>
          <w:rFonts w:ascii="Arial" w:eastAsia="Times New Roman" w:hAnsi="Arial" w:cs="Arial"/>
          <w:sz w:val="24"/>
          <w:szCs w:val="24"/>
          <w:lang w:eastAsia="pt-BR"/>
        </w:rPr>
        <w:t xml:space="preserve"> na conta bancária do Fundo Estadual/Distrito Federal/Municipal de Saúde e disponibilizar os arquivos de processamento do SIH/SUS, no BBS/MS, excetuando-se as situações excepcionais devidamente justificadas;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referentes ao bloco de Vigilância em Saúde, quando os recursos nos estados, no Distrito Federal e nos Municípios estiverem sem movimentação bancária e com saldos correspondentes a seis meses de repasse, sem justificativa;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quando da indicação de suspensão decorrente de relatório da Auditoria realizada pelos componentes estadual ou nacional, respeitado o prazo de defesa do Estado, do Distrito Federal ou do Município envolvido, para o bloco de Financiamento correspondente à ação da Auditoria.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Parágrafo único.  A regularização do repasse da parcela mensal do Bloco de Vigilância em Saúde dar-se-á a partir do mês de competência da apresentação dos documentos comprobatórios do comprometimento de pelo menos 60% do saldo existente no bloco.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38.  Fica estabelecido o Termo de Ajuste Sanitário – TAS como um instrumento formalizado entre os entes do Sistema Único de Saúde, no qual são constituídas obrigações para a correção de impropriedades no funcionamento do sistema, com o prazo de 60 (sessenta) dias para ser regulamentado.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Parágrafo único.  Não será aplicável a utilização </w:t>
      </w:r>
      <w:proofErr w:type="gramStart"/>
      <w:r w:rsidRPr="004A3107">
        <w:rPr>
          <w:rFonts w:ascii="Arial" w:eastAsia="Times New Roman" w:hAnsi="Arial" w:cs="Arial"/>
          <w:sz w:val="24"/>
          <w:szCs w:val="24"/>
          <w:lang w:eastAsia="pt-BR"/>
        </w:rPr>
        <w:t>do TAS</w:t>
      </w:r>
      <w:proofErr w:type="gramEnd"/>
      <w:r w:rsidRPr="004A3107">
        <w:rPr>
          <w:rFonts w:ascii="Arial" w:eastAsia="Times New Roman" w:hAnsi="Arial" w:cs="Arial"/>
          <w:sz w:val="24"/>
          <w:szCs w:val="24"/>
          <w:lang w:eastAsia="pt-BR"/>
        </w:rPr>
        <w:t xml:space="preserve"> quando for comprovada a malversação de recursos.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39. Os recursos federais referente aos cinco blocos de financiamento onerarão as ações detalhadas no Anexo III a esta Portaria. </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40. Esta Portaria altera a Portaria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399/GM, de 22 de fevereiro de 2006, no Anexo II – Pacto pela Saúde 2006 – Consolidação do SUS - no que se refere: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ao bloco de financiamento da Atenção Básica, o item Financiamento das Estratégias que compõem o PAB Variável passa a vigorar com a seguinte redação: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“O Componente Piso da Atenção Básica Variável - PAB Variável é constituído por recursos financeiros destinados ao financiamento de estratégias, realizadas no âmbito da atenção básica em saúde, tais como: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Saúde da Família;</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Agentes Comunitários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Saúde Bucal;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IV - Compensação de Especificidades Regionais;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Fator de Incentivo de Atenção Básica aos Povos Indígenas;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 - Incentivo para a Atenção à Saúde no Sistema Penitenciário;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VII - Incentivo para a Atenção Integral à Saúde do Adolescente em conflito com a lei, em regime de internação e internação provisória; 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VIII - outros que venham a ser instituídos por meio de ato normativo específico.”</w:t>
      </w:r>
      <w:proofErr w:type="gramEnd"/>
      <w:r w:rsidRPr="004A3107">
        <w:rPr>
          <w:rFonts w:ascii="Arial" w:eastAsia="Times New Roman" w:hAnsi="Arial" w:cs="Arial"/>
          <w:sz w:val="24"/>
          <w:szCs w:val="24"/>
          <w:lang w:eastAsia="pt-BR"/>
        </w:rPr>
        <w:t xml:space="preserve"> (NR)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ao bloco de financiamento para a Atenção de Média e Alta Complexidade, Ambulatorial e Hospitalar, o item Fundo de Ações Estratégicas e Compensação, passa a vigorar com a seguinte redação: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“O Componente Fundo de Ações Estratégicas e Compensação – FAEC</w:t>
      </w:r>
      <w:proofErr w:type="gramStart"/>
      <w:r w:rsidRPr="004A3107">
        <w:rPr>
          <w:rFonts w:ascii="Arial" w:eastAsia="Times New Roman" w:hAnsi="Arial" w:cs="Arial"/>
          <w:sz w:val="24"/>
          <w:szCs w:val="24"/>
          <w:lang w:eastAsia="pt-BR"/>
        </w:rPr>
        <w:t>, é</w:t>
      </w:r>
      <w:proofErr w:type="gramEnd"/>
      <w:r w:rsidRPr="004A3107">
        <w:rPr>
          <w:rFonts w:ascii="Arial" w:eastAsia="Times New Roman" w:hAnsi="Arial" w:cs="Arial"/>
          <w:sz w:val="24"/>
          <w:szCs w:val="24"/>
          <w:lang w:eastAsia="pt-BR"/>
        </w:rPr>
        <w:t xml:space="preserve"> composto pelos recursos destinados ao financiamento dos seguintes itens: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procedimentos regulados pela Central Nacional de Regulação da Alta Complexidade - CNRAC;</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transplantes e os procedimentos vinculados;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III - ações estratégicas ou emergenciais, de caráter temporário e </w:t>
      </w:r>
      <w:proofErr w:type="gramStart"/>
      <w:r w:rsidRPr="004A3107">
        <w:rPr>
          <w:rFonts w:ascii="Arial" w:eastAsia="Times New Roman" w:hAnsi="Arial" w:cs="Arial"/>
          <w:sz w:val="24"/>
          <w:szCs w:val="24"/>
          <w:lang w:eastAsia="pt-BR"/>
        </w:rPr>
        <w:t>implementadas</w:t>
      </w:r>
      <w:proofErr w:type="gramEnd"/>
      <w:r w:rsidRPr="004A3107">
        <w:rPr>
          <w:rFonts w:ascii="Arial" w:eastAsia="Times New Roman" w:hAnsi="Arial" w:cs="Arial"/>
          <w:sz w:val="24"/>
          <w:szCs w:val="24"/>
          <w:lang w:eastAsia="pt-BR"/>
        </w:rPr>
        <w:t xml:space="preserve"> com prazo pré-definido;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IV - novos procedimentos, não-relacionados aos constantes da tabela vigente ou que não possuam parâmetros para permitir a definição de limite de financiamento, por um período de seis meses, com vistas a permitir a formação de série histórica necessária à sua agregação ao Componente Limite Financeiro da Atenção de Média e Alta Complexidade Ambulatorial e Hospitalar – MAC.”</w:t>
      </w:r>
      <w:proofErr w:type="gramEnd"/>
      <w:r w:rsidRPr="004A3107">
        <w:rPr>
          <w:rFonts w:ascii="Arial" w:eastAsia="Times New Roman" w:hAnsi="Arial" w:cs="Arial"/>
          <w:sz w:val="24"/>
          <w:szCs w:val="24"/>
          <w:lang w:eastAsia="pt-BR"/>
        </w:rPr>
        <w:t xml:space="preserve"> (NR)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III - ao bloco de financiamento para a Vigilância à Saúde, o item componente Vigilância Epidemiológica, no que se refere a repasses específicos, passa a vigorar com a seguinte redação: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“No Componente Vigilância Epidemiológica e Ambiental em Saúde também estão incluídos recursos federais, provenientes de acordos internacionais, destinados às seguintes finalidades: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fortalecimento da Gestão da Vigilância em Saúde nos estados, Distrito Federal e municípios (VIGISUS II); e</w:t>
      </w:r>
    </w:p>
    <w:p w:rsidR="00FE4BCC" w:rsidRPr="004A3107" w:rsidRDefault="00FE4BCC" w:rsidP="00FE4BCC">
      <w:pPr>
        <w:spacing w:after="0" w:line="240" w:lineRule="auto"/>
        <w:ind w:firstLine="567"/>
        <w:jc w:val="both"/>
        <w:rPr>
          <w:rFonts w:ascii="Arial" w:eastAsia="Times New Roman" w:hAnsi="Arial" w:cs="Arial"/>
          <w:sz w:val="24"/>
          <w:szCs w:val="24"/>
          <w:lang w:val="en-US" w:eastAsia="pt-BR"/>
        </w:rPr>
      </w:pPr>
      <w:proofErr w:type="gramStart"/>
      <w:r w:rsidRPr="004A3107">
        <w:rPr>
          <w:rFonts w:ascii="Arial" w:eastAsia="Times New Roman" w:hAnsi="Arial" w:cs="Arial"/>
          <w:sz w:val="24"/>
          <w:szCs w:val="24"/>
          <w:lang w:val="en-US" w:eastAsia="pt-BR"/>
        </w:rPr>
        <w:t xml:space="preserve">II - </w:t>
      </w:r>
      <w:proofErr w:type="spellStart"/>
      <w:r w:rsidRPr="004A3107">
        <w:rPr>
          <w:rFonts w:ascii="Arial" w:eastAsia="Times New Roman" w:hAnsi="Arial" w:cs="Arial"/>
          <w:sz w:val="24"/>
          <w:szCs w:val="24"/>
          <w:lang w:val="en-US" w:eastAsia="pt-BR"/>
        </w:rPr>
        <w:t>programa</w:t>
      </w:r>
      <w:proofErr w:type="spellEnd"/>
      <w:r w:rsidRPr="004A3107">
        <w:rPr>
          <w:rFonts w:ascii="Arial" w:eastAsia="Times New Roman" w:hAnsi="Arial" w:cs="Arial"/>
          <w:sz w:val="24"/>
          <w:szCs w:val="24"/>
          <w:lang w:val="en-US" w:eastAsia="pt-BR"/>
        </w:rPr>
        <w:t xml:space="preserve"> DST/Aids.”</w:t>
      </w:r>
      <w:proofErr w:type="gramEnd"/>
      <w:r w:rsidRPr="004A3107">
        <w:rPr>
          <w:rFonts w:ascii="Arial" w:eastAsia="Times New Roman" w:hAnsi="Arial" w:cs="Arial"/>
          <w:sz w:val="24"/>
          <w:szCs w:val="24"/>
          <w:lang w:val="en-US" w:eastAsia="pt-BR"/>
        </w:rPr>
        <w:t xml:space="preserve"> (NR)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IV - ao bloco de financiamento da Assistência Farmacêutica, o item Componente Estratégico, passa a vigorar com a seguinte redação: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“O Componente Estratégico da Assistência Farmacêutica destina-se ao financiamento de ações de assistência farmacêutica dos seguintes programas de saúde estratégicos: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 - controle de endemias, tais como a Tuberculose, Hanseníase, Malária, Leishmaniose, Chagas e outras doenças endêmicas de abrangência nacional ou regional;</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II - Programa DST/</w:t>
      </w:r>
      <w:proofErr w:type="spellStart"/>
      <w:proofErr w:type="gramStart"/>
      <w:r w:rsidRPr="004A3107">
        <w:rPr>
          <w:rFonts w:ascii="Arial" w:eastAsia="Times New Roman" w:hAnsi="Arial" w:cs="Arial"/>
          <w:sz w:val="24"/>
          <w:szCs w:val="24"/>
          <w:lang w:eastAsia="pt-BR"/>
        </w:rPr>
        <w:t>Aids</w:t>
      </w:r>
      <w:proofErr w:type="spellEnd"/>
      <w:proofErr w:type="gramEnd"/>
      <w:r w:rsidRPr="004A3107">
        <w:rPr>
          <w:rFonts w:ascii="Arial" w:eastAsia="Times New Roman" w:hAnsi="Arial" w:cs="Arial"/>
          <w:sz w:val="24"/>
          <w:szCs w:val="24"/>
          <w:lang w:eastAsia="pt-BR"/>
        </w:rPr>
        <w:t xml:space="preserve"> (</w:t>
      </w:r>
      <w:proofErr w:type="spellStart"/>
      <w:r w:rsidRPr="004A3107">
        <w:rPr>
          <w:rFonts w:ascii="Arial" w:eastAsia="Times New Roman" w:hAnsi="Arial" w:cs="Arial"/>
          <w:sz w:val="24"/>
          <w:szCs w:val="24"/>
          <w:lang w:eastAsia="pt-BR"/>
        </w:rPr>
        <w:t>anti-retrovirais</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xml:space="preserve">III - Programa Nacional de Sangue e </w:t>
      </w:r>
      <w:proofErr w:type="spellStart"/>
      <w:r w:rsidRPr="004A3107">
        <w:rPr>
          <w:rFonts w:ascii="Arial" w:eastAsia="Times New Roman" w:hAnsi="Arial" w:cs="Arial"/>
          <w:sz w:val="24"/>
          <w:szCs w:val="24"/>
          <w:lang w:eastAsia="pt-BR"/>
        </w:rPr>
        <w:t>Hemoderivados</w:t>
      </w:r>
      <w:proofErr w:type="spellEnd"/>
      <w:r w:rsidRPr="004A3107">
        <w:rPr>
          <w:rFonts w:ascii="Arial" w:eastAsia="Times New Roman" w:hAnsi="Arial" w:cs="Arial"/>
          <w:sz w:val="24"/>
          <w:szCs w:val="24"/>
          <w:lang w:eastAsia="pt-BR"/>
        </w:rPr>
        <w:t>;</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 xml:space="preserve">IV - </w:t>
      </w:r>
      <w:proofErr w:type="spellStart"/>
      <w:r w:rsidRPr="004A3107">
        <w:rPr>
          <w:rFonts w:ascii="Arial" w:eastAsia="Times New Roman" w:hAnsi="Arial" w:cs="Arial"/>
          <w:sz w:val="24"/>
          <w:szCs w:val="24"/>
          <w:lang w:eastAsia="pt-BR"/>
        </w:rPr>
        <w:t>Imunobiológicos</w:t>
      </w:r>
      <w:proofErr w:type="spellEnd"/>
      <w:r w:rsidRPr="004A3107">
        <w:rPr>
          <w:rFonts w:ascii="Arial" w:eastAsia="Times New Roman" w:hAnsi="Arial" w:cs="Arial"/>
          <w:sz w:val="24"/>
          <w:szCs w:val="24"/>
          <w:lang w:eastAsia="pt-BR"/>
        </w:rPr>
        <w:t>.”</w:t>
      </w:r>
      <w:proofErr w:type="gramEnd"/>
      <w:r w:rsidRPr="004A3107">
        <w:rPr>
          <w:rFonts w:ascii="Arial" w:eastAsia="Times New Roman" w:hAnsi="Arial" w:cs="Arial"/>
          <w:sz w:val="24"/>
          <w:szCs w:val="24"/>
          <w:lang w:eastAsia="pt-BR"/>
        </w:rPr>
        <w:t xml:space="preserve"> (NR)</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V - ao bloco de financiamento da Gestão do SUS, passa a vigorar com a seguinte redação:</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“O Bloco de Financiamento para a Gestão do SUS é constituído de dois componentes: Componente para a Qualificação da Gestão do SUS e Componente para a Implantação de Ações e Serviços de Saúde.”.</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41.  </w:t>
      </w:r>
      <w:proofErr w:type="gramStart"/>
      <w:r w:rsidRPr="004A3107">
        <w:rPr>
          <w:rFonts w:ascii="Arial" w:eastAsia="Times New Roman" w:hAnsi="Arial" w:cs="Arial"/>
          <w:sz w:val="24"/>
          <w:szCs w:val="24"/>
          <w:lang w:eastAsia="pt-BR"/>
        </w:rPr>
        <w:t>Revogam-se</w:t>
      </w:r>
      <w:proofErr w:type="gramEnd"/>
      <w:r w:rsidRPr="004A3107">
        <w:rPr>
          <w:rFonts w:ascii="Arial" w:eastAsia="Times New Roman" w:hAnsi="Arial" w:cs="Arial"/>
          <w:sz w:val="24"/>
          <w:szCs w:val="24"/>
          <w:lang w:eastAsia="pt-BR"/>
        </w:rPr>
        <w:t xml:space="preserve"> as Portarias GM/MS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59, de 16 de janeiro de 1998;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531, de 30 de abril de 1999,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2.425 de 30 de dezembro de 2002, e n</w:t>
      </w:r>
      <w:r w:rsidRPr="004A3107">
        <w:rPr>
          <w:rFonts w:ascii="Arial" w:eastAsia="Times New Roman" w:hAnsi="Arial" w:cs="Arial"/>
          <w:strike/>
          <w:sz w:val="24"/>
          <w:szCs w:val="24"/>
          <w:lang w:eastAsia="pt-BR"/>
        </w:rPr>
        <w:t>º</w:t>
      </w:r>
      <w:r w:rsidRPr="004A3107">
        <w:rPr>
          <w:rFonts w:ascii="Arial" w:eastAsia="Times New Roman" w:hAnsi="Arial" w:cs="Arial"/>
          <w:sz w:val="24"/>
          <w:szCs w:val="24"/>
          <w:lang w:eastAsia="pt-BR"/>
        </w:rPr>
        <w:t xml:space="preserve"> 698, de 30 de março de 2006.</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Art. 42.  A consonância normativa decorrente da publicação desta Portaria deverá ser realizada no prazo de 120 (cento e vinte) dias.</w:t>
      </w:r>
    </w:p>
    <w:p w:rsidR="00FE4BCC" w:rsidRPr="004A3107" w:rsidRDefault="00FE4BCC" w:rsidP="00FE4BCC">
      <w:pPr>
        <w:spacing w:after="0" w:line="240" w:lineRule="auto"/>
        <w:ind w:firstLine="567"/>
        <w:jc w:val="both"/>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Art. 43.  Esta Portaria entra em vigor a partir da competência fevereiro de 2007.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JOSÉ AGENOR ÁLVARES DA SILVA</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bl>
      <w:tblPr>
        <w:tblW w:w="14175" w:type="dxa"/>
        <w:tblInd w:w="68" w:type="dxa"/>
        <w:tblCellMar>
          <w:left w:w="0" w:type="dxa"/>
          <w:right w:w="0" w:type="dxa"/>
        </w:tblCellMar>
        <w:tblLook w:val="04A0"/>
      </w:tblPr>
      <w:tblGrid>
        <w:gridCol w:w="358"/>
        <w:gridCol w:w="1178"/>
        <w:gridCol w:w="684"/>
        <w:gridCol w:w="1242"/>
        <w:gridCol w:w="1731"/>
        <w:gridCol w:w="1117"/>
        <w:gridCol w:w="1789"/>
        <w:gridCol w:w="1423"/>
        <w:gridCol w:w="1782"/>
        <w:gridCol w:w="2037"/>
        <w:gridCol w:w="834"/>
      </w:tblGrid>
      <w:tr w:rsidR="00FE4BCC" w:rsidRPr="004A3107" w:rsidTr="00FE4BCC">
        <w:trPr>
          <w:trHeight w:val="170"/>
        </w:trPr>
        <w:tc>
          <w:tcPr>
            <w:tcW w:w="14175" w:type="dxa"/>
            <w:gridSpan w:val="11"/>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ANEXO I – a - BLOCO DE FINANCIAMENTO DA ATENÇÃO BÁSICA</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MEMÓRIAS DE CÁLCULO</w:t>
            </w:r>
          </w:p>
        </w:tc>
      </w:tr>
      <w:tr w:rsidR="00FE4BCC" w:rsidRPr="004A3107" w:rsidTr="00FE4BCC">
        <w:trPr>
          <w:cantSplit/>
          <w:trHeight w:val="170"/>
        </w:trPr>
        <w:tc>
          <w:tcPr>
            <w:tcW w:w="357" w:type="dxa"/>
            <w:vMerge w:val="restart"/>
            <w:tcBorders>
              <w:top w:val="single" w:sz="8" w:space="0" w:color="auto"/>
              <w:left w:val="single" w:sz="8" w:space="0" w:color="auto"/>
              <w:bottom w:val="single" w:sz="8" w:space="0" w:color="auto"/>
              <w:right w:val="single" w:sz="8" w:space="0" w:color="auto"/>
            </w:tcBorders>
            <w:shd w:val="clear" w:color="auto" w:fill="FFFFFF"/>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UF</w:t>
            </w:r>
          </w:p>
        </w:tc>
        <w:tc>
          <w:tcPr>
            <w:tcW w:w="1119" w:type="dxa"/>
            <w:vMerge w:val="restart"/>
            <w:tcBorders>
              <w:top w:val="single" w:sz="8" w:space="0" w:color="auto"/>
              <w:left w:val="nil"/>
              <w:bottom w:val="single" w:sz="8" w:space="0" w:color="auto"/>
              <w:right w:val="single" w:sz="8" w:space="0" w:color="auto"/>
            </w:tcBorders>
            <w:shd w:val="clear" w:color="auto" w:fill="FFFFFF"/>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Municípios</w:t>
            </w:r>
          </w:p>
        </w:tc>
        <w:tc>
          <w:tcPr>
            <w:tcW w:w="688" w:type="dxa"/>
            <w:vMerge w:val="restart"/>
            <w:tcBorders>
              <w:top w:val="single" w:sz="8" w:space="0" w:color="auto"/>
              <w:left w:val="nil"/>
              <w:bottom w:val="single" w:sz="8" w:space="0" w:color="auto"/>
              <w:right w:val="single" w:sz="8" w:space="0" w:color="auto"/>
            </w:tcBorders>
            <w:shd w:val="clear" w:color="auto" w:fill="FFFFFF"/>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PAB</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Fixo</w:t>
            </w:r>
          </w:p>
        </w:tc>
        <w:tc>
          <w:tcPr>
            <w:tcW w:w="12011" w:type="dxa"/>
            <w:gridSpan w:val="8"/>
            <w:tcBorders>
              <w:top w:val="single" w:sz="8" w:space="0" w:color="auto"/>
              <w:left w:val="nil"/>
              <w:bottom w:val="single" w:sz="8" w:space="0" w:color="auto"/>
              <w:right w:val="single" w:sz="8" w:space="0" w:color="auto"/>
            </w:tcBorders>
            <w:shd w:val="clear" w:color="auto" w:fill="FFFFFF"/>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PAB VARIÁVEL</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25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Saúde</w:t>
            </w:r>
          </w:p>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da</w:t>
            </w:r>
            <w:proofErr w:type="gramEnd"/>
            <w:r w:rsidRPr="004A3107">
              <w:rPr>
                <w:rFonts w:ascii="Arial" w:eastAsia="Times New Roman" w:hAnsi="Arial" w:cs="Arial"/>
                <w:sz w:val="24"/>
                <w:szCs w:val="24"/>
                <w:lang w:eastAsia="pt-BR"/>
              </w:rPr>
              <w:t xml:space="preserve"> Família (SF)</w:t>
            </w:r>
          </w:p>
        </w:tc>
        <w:tc>
          <w:tcPr>
            <w:tcW w:w="1737"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Agentes Comunitários de Saúde (ACS)</w:t>
            </w:r>
          </w:p>
        </w:tc>
        <w:tc>
          <w:tcPr>
            <w:tcW w:w="112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Saúde</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Bucal (SB)</w:t>
            </w:r>
          </w:p>
        </w:tc>
        <w:tc>
          <w:tcPr>
            <w:tcW w:w="179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Compensação das Especificidades Regionais</w:t>
            </w:r>
          </w:p>
        </w:tc>
        <w:tc>
          <w:tcPr>
            <w:tcW w:w="143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w:t>
            </w:r>
          </w:p>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aos</w:t>
            </w:r>
            <w:proofErr w:type="gramEnd"/>
            <w:r w:rsidRPr="004A3107">
              <w:rPr>
                <w:rFonts w:ascii="Arial" w:eastAsia="Times New Roman" w:hAnsi="Arial" w:cs="Arial"/>
                <w:sz w:val="24"/>
                <w:szCs w:val="24"/>
                <w:lang w:eastAsia="pt-BR"/>
              </w:rPr>
              <w:t xml:space="preserve"> Povos Indígenas</w:t>
            </w:r>
          </w:p>
        </w:tc>
        <w:tc>
          <w:tcPr>
            <w:tcW w:w="179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 à Saúde no Sistema Penitenciário</w:t>
            </w:r>
          </w:p>
        </w:tc>
        <w:tc>
          <w:tcPr>
            <w:tcW w:w="205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Atenção Adolescente em conflito com a Lei</w:t>
            </w:r>
          </w:p>
        </w:tc>
        <w:tc>
          <w:tcPr>
            <w:tcW w:w="83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Outros</w:t>
            </w:r>
          </w:p>
        </w:tc>
      </w:tr>
      <w:tr w:rsidR="00FE4BCC" w:rsidRPr="004A3107" w:rsidTr="00FE4BCC">
        <w:trPr>
          <w:trHeight w:val="170"/>
        </w:trPr>
        <w:tc>
          <w:tcPr>
            <w:tcW w:w="357"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19"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8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5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37"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2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9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3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9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205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3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MEMÓRIA DE CÁLCULO DO BLOCO DE ATENÇÃO BÁSICA PARA ESTADOS</w:t>
      </w:r>
    </w:p>
    <w:tbl>
      <w:tblPr>
        <w:tblW w:w="14175" w:type="dxa"/>
        <w:tblInd w:w="68" w:type="dxa"/>
        <w:tblCellMar>
          <w:left w:w="0" w:type="dxa"/>
          <w:right w:w="0" w:type="dxa"/>
        </w:tblCellMar>
        <w:tblLook w:val="04A0"/>
      </w:tblPr>
      <w:tblGrid>
        <w:gridCol w:w="2393"/>
        <w:gridCol w:w="3943"/>
        <w:gridCol w:w="4260"/>
        <w:gridCol w:w="3579"/>
      </w:tblGrid>
      <w:tr w:rsidR="00FE4BCC" w:rsidRPr="004A3107" w:rsidTr="00FE4BCC">
        <w:trPr>
          <w:cantSplit/>
          <w:trHeight w:val="170"/>
        </w:trPr>
        <w:tc>
          <w:tcPr>
            <w:tcW w:w="2393" w:type="dxa"/>
            <w:vMerge w:val="restart"/>
            <w:tcBorders>
              <w:top w:val="single" w:sz="8" w:space="0" w:color="auto"/>
              <w:left w:val="single" w:sz="8" w:space="0" w:color="auto"/>
              <w:bottom w:val="single" w:sz="8" w:space="0" w:color="auto"/>
              <w:right w:val="single" w:sz="8" w:space="0" w:color="auto"/>
            </w:tcBorders>
            <w:shd w:val="clear" w:color="auto" w:fill="FFFFFF"/>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UF</w:t>
            </w:r>
          </w:p>
        </w:tc>
        <w:tc>
          <w:tcPr>
            <w:tcW w:w="11782" w:type="dxa"/>
            <w:gridSpan w:val="3"/>
            <w:tcBorders>
              <w:top w:val="single" w:sz="8" w:space="0" w:color="auto"/>
              <w:left w:val="nil"/>
              <w:bottom w:val="single" w:sz="8" w:space="0" w:color="auto"/>
              <w:right w:val="single" w:sz="8" w:space="0" w:color="auto"/>
            </w:tcBorders>
            <w:shd w:val="clear" w:color="auto" w:fill="FFFFFF"/>
            <w:noWrap/>
            <w:tcMar>
              <w:top w:w="15" w:type="dxa"/>
              <w:left w:w="15" w:type="dxa"/>
              <w:bottom w:w="0" w:type="dxa"/>
              <w:right w:w="15" w:type="dxa"/>
            </w:tcMar>
            <w:vAlign w:val="bottom"/>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PAB VARIÁVEL</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394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 à Saúde no Sistema Penitenciário</w:t>
            </w:r>
          </w:p>
        </w:tc>
        <w:tc>
          <w:tcPr>
            <w:tcW w:w="426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Atenção Adolescente em conflito com a Lei</w:t>
            </w:r>
          </w:p>
        </w:tc>
        <w:tc>
          <w:tcPr>
            <w:tcW w:w="3579"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Outros</w:t>
            </w:r>
          </w:p>
        </w:tc>
      </w:tr>
      <w:tr w:rsidR="00FE4BCC" w:rsidRPr="004A3107" w:rsidTr="00FE4BCC">
        <w:trPr>
          <w:trHeight w:val="170"/>
        </w:trPr>
        <w:tc>
          <w:tcPr>
            <w:tcW w:w="2393"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94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26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579"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bl>
    <w:p w:rsidR="00FE4BCC" w:rsidRPr="004A3107" w:rsidRDefault="00FE4BCC" w:rsidP="00FE4BCC">
      <w:pPr>
        <w:spacing w:after="0" w:line="240" w:lineRule="auto"/>
        <w:rPr>
          <w:rFonts w:ascii="Arial" w:eastAsia="Times New Roman" w:hAnsi="Arial" w:cs="Arial"/>
          <w:sz w:val="24"/>
          <w:szCs w:val="24"/>
          <w:lang w:eastAsia="pt-BR"/>
        </w:rPr>
      </w:pPr>
      <w:bookmarkStart w:id="2" w:name="OLE_LINK3"/>
      <w:r w:rsidRPr="004A3107">
        <w:rPr>
          <w:rFonts w:ascii="Arial" w:eastAsia="Times New Roman" w:hAnsi="Arial" w:cs="Arial"/>
          <w:sz w:val="24"/>
          <w:szCs w:val="24"/>
          <w:lang w:eastAsia="pt-BR"/>
        </w:rPr>
        <w:t> </w:t>
      </w:r>
      <w:bookmarkEnd w:id="2"/>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ANEXO I – b - BLOCO DE FINANCIAMENTO DA MÉDIA E ALTA COMPLEXIDADE</w:t>
      </w:r>
    </w:p>
    <w:tbl>
      <w:tblPr>
        <w:tblW w:w="0" w:type="auto"/>
        <w:tblInd w:w="68" w:type="dxa"/>
        <w:tblCellMar>
          <w:left w:w="0" w:type="dxa"/>
          <w:right w:w="0" w:type="dxa"/>
        </w:tblCellMar>
        <w:tblLook w:val="04A0"/>
      </w:tblPr>
      <w:tblGrid>
        <w:gridCol w:w="275"/>
        <w:gridCol w:w="908"/>
        <w:gridCol w:w="439"/>
        <w:gridCol w:w="429"/>
        <w:gridCol w:w="561"/>
        <w:gridCol w:w="775"/>
        <w:gridCol w:w="693"/>
        <w:gridCol w:w="377"/>
        <w:gridCol w:w="1224"/>
        <w:gridCol w:w="1367"/>
        <w:gridCol w:w="1367"/>
        <w:gridCol w:w="1367"/>
        <w:gridCol w:w="582"/>
        <w:gridCol w:w="683"/>
        <w:gridCol w:w="1092"/>
        <w:gridCol w:w="1255"/>
        <w:gridCol w:w="572"/>
      </w:tblGrid>
      <w:tr w:rsidR="00FE4BCC" w:rsidRPr="004A3107" w:rsidTr="00FE4BCC">
        <w:trPr>
          <w:trHeight w:val="170"/>
        </w:trPr>
        <w:tc>
          <w:tcPr>
            <w:tcW w:w="14175" w:type="dxa"/>
            <w:gridSpan w:val="17"/>
            <w:noWrap/>
            <w:tcMar>
              <w:top w:w="15" w:type="dxa"/>
              <w:left w:w="15" w:type="dxa"/>
              <w:bottom w:w="0" w:type="dxa"/>
              <w:right w:w="15" w:type="dxa"/>
            </w:tcMar>
            <w:vAlign w:val="bottom"/>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MEMÓRIAS DE CÁLCULO</w:t>
            </w:r>
          </w:p>
        </w:tc>
      </w:tr>
      <w:tr w:rsidR="00FE4BCC" w:rsidRPr="004A3107" w:rsidTr="00FE4BCC">
        <w:trPr>
          <w:cantSplit/>
          <w:trHeight w:val="170"/>
        </w:trPr>
        <w:tc>
          <w:tcPr>
            <w:tcW w:w="425" w:type="dxa"/>
            <w:vMerge w:val="restart"/>
            <w:tcBorders>
              <w:top w:val="single" w:sz="8" w:space="0" w:color="auto"/>
              <w:left w:val="single" w:sz="8" w:space="0" w:color="auto"/>
              <w:bottom w:val="single" w:sz="8" w:space="0" w:color="000000"/>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UF</w:t>
            </w:r>
          </w:p>
        </w:tc>
        <w:tc>
          <w:tcPr>
            <w:tcW w:w="782" w:type="dxa"/>
            <w:vMerge w:val="restart"/>
            <w:tcBorders>
              <w:top w:val="single" w:sz="8" w:space="0" w:color="auto"/>
              <w:left w:val="nil"/>
              <w:bottom w:val="single" w:sz="8" w:space="0" w:color="000000"/>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Municípios</w:t>
            </w:r>
          </w:p>
        </w:tc>
        <w:tc>
          <w:tcPr>
            <w:tcW w:w="12968" w:type="dxa"/>
            <w:gridSpan w:val="15"/>
            <w:tcBorders>
              <w:top w:val="single" w:sz="8" w:space="0" w:color="auto"/>
              <w:left w:val="nil"/>
              <w:bottom w:val="single" w:sz="8" w:space="0" w:color="auto"/>
              <w:right w:val="single" w:sz="8" w:space="0" w:color="000000"/>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BLOCO DA ATENÇÃO DE MÉDIA E ALTA COMPLEXIDADE DA ASSISTENCIA</w:t>
            </w:r>
          </w:p>
        </w:tc>
      </w:tr>
      <w:tr w:rsidR="00FE4BCC" w:rsidRPr="004A3107" w:rsidTr="00FE4BCC">
        <w:trPr>
          <w:cantSplit/>
          <w:trHeight w:val="17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000000"/>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9720" w:type="dxa"/>
            <w:gridSpan w:val="11"/>
            <w:tcBorders>
              <w:top w:val="nil"/>
              <w:left w:val="nil"/>
              <w:bottom w:val="single" w:sz="8" w:space="0" w:color="auto"/>
              <w:right w:val="single" w:sz="8" w:space="0" w:color="000000"/>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Componente Limite Financeiro MAC</w:t>
            </w:r>
          </w:p>
        </w:tc>
        <w:tc>
          <w:tcPr>
            <w:tcW w:w="3248" w:type="dxa"/>
            <w:gridSpan w:val="4"/>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FAEC</w:t>
            </w:r>
          </w:p>
        </w:tc>
      </w:tr>
      <w:tr w:rsidR="00FE4BCC" w:rsidRPr="004A3107" w:rsidTr="00FE4BCC">
        <w:trPr>
          <w:cantSplit/>
          <w:trHeight w:val="170"/>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000000"/>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405"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Teto MAC</w:t>
            </w:r>
          </w:p>
        </w:tc>
        <w:tc>
          <w:tcPr>
            <w:tcW w:w="486"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CEO</w:t>
            </w:r>
          </w:p>
        </w:tc>
        <w:tc>
          <w:tcPr>
            <w:tcW w:w="646"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SAMU</w:t>
            </w:r>
          </w:p>
        </w:tc>
        <w:tc>
          <w:tcPr>
            <w:tcW w:w="623"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CEREST</w:t>
            </w:r>
          </w:p>
        </w:tc>
        <w:tc>
          <w:tcPr>
            <w:tcW w:w="72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FIDEPS</w:t>
            </w:r>
          </w:p>
        </w:tc>
        <w:tc>
          <w:tcPr>
            <w:tcW w:w="54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IAPI</w:t>
            </w:r>
          </w:p>
        </w:tc>
        <w:tc>
          <w:tcPr>
            <w:tcW w:w="108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INTEGRASUS</w:t>
            </w:r>
          </w:p>
        </w:tc>
        <w:tc>
          <w:tcPr>
            <w:tcW w:w="144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Incentivo de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Hospitais de Ensino</w:t>
            </w:r>
          </w:p>
        </w:tc>
        <w:tc>
          <w:tcPr>
            <w:tcW w:w="180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Incentivo de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Hospitais de Pequeno Porte</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Incentivo de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Hospitais Filantrópicos</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Outros</w:t>
            </w:r>
          </w:p>
        </w:tc>
        <w:tc>
          <w:tcPr>
            <w:tcW w:w="672"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CNRAC</w:t>
            </w:r>
          </w:p>
        </w:tc>
        <w:tc>
          <w:tcPr>
            <w:tcW w:w="948"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Transplantes</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Novos Procedimentos</w:t>
            </w:r>
          </w:p>
        </w:tc>
        <w:tc>
          <w:tcPr>
            <w:tcW w:w="54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Outros</w:t>
            </w:r>
          </w:p>
        </w:tc>
      </w:tr>
      <w:tr w:rsidR="00FE4BCC" w:rsidRPr="004A3107" w:rsidTr="00FE4BCC">
        <w:trPr>
          <w:cantSplit/>
          <w:trHeight w:val="170"/>
        </w:trPr>
        <w:tc>
          <w:tcPr>
            <w:tcW w:w="425"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8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05"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86"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46"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3"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0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72"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48"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cantSplit/>
          <w:trHeight w:val="170"/>
        </w:trPr>
        <w:tc>
          <w:tcPr>
            <w:tcW w:w="425"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8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0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8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4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0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7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4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cantSplit/>
          <w:trHeight w:val="170"/>
        </w:trPr>
        <w:tc>
          <w:tcPr>
            <w:tcW w:w="425"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8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0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8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4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0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7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4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cantSplit/>
          <w:trHeight w:val="170"/>
        </w:trPr>
        <w:tc>
          <w:tcPr>
            <w:tcW w:w="425"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8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0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48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46"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0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7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4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O Componente FAEC não tem valores fixo, dependendo da produção de serviços.</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ANEXO I – c - </w:t>
      </w:r>
      <w:r w:rsidRPr="004A3107">
        <w:rPr>
          <w:rFonts w:ascii="Arial" w:eastAsia="Times New Roman" w:hAnsi="Arial" w:cs="Arial"/>
          <w:caps/>
          <w:sz w:val="24"/>
          <w:szCs w:val="24"/>
          <w:lang w:eastAsia="pt-BR"/>
        </w:rPr>
        <w:t>Bloco de Financiamento da Vigilância em Saúde</w:t>
      </w:r>
    </w:p>
    <w:tbl>
      <w:tblPr>
        <w:tblW w:w="0" w:type="auto"/>
        <w:tblInd w:w="68" w:type="dxa"/>
        <w:tblCellMar>
          <w:left w:w="0" w:type="dxa"/>
          <w:right w:w="0" w:type="dxa"/>
        </w:tblCellMar>
        <w:tblLook w:val="04A0"/>
      </w:tblPr>
      <w:tblGrid>
        <w:gridCol w:w="410"/>
        <w:gridCol w:w="986"/>
        <w:gridCol w:w="542"/>
        <w:gridCol w:w="1355"/>
        <w:gridCol w:w="605"/>
        <w:gridCol w:w="1219"/>
        <w:gridCol w:w="1364"/>
        <w:gridCol w:w="905"/>
        <w:gridCol w:w="697"/>
        <w:gridCol w:w="841"/>
        <w:gridCol w:w="1208"/>
        <w:gridCol w:w="605"/>
        <w:gridCol w:w="1564"/>
        <w:gridCol w:w="526"/>
        <w:gridCol w:w="453"/>
        <w:gridCol w:w="686"/>
      </w:tblGrid>
      <w:tr w:rsidR="00FE4BCC" w:rsidRPr="004A3107" w:rsidTr="00FE4BCC">
        <w:trPr>
          <w:cantSplit/>
          <w:trHeight w:val="170"/>
        </w:trPr>
        <w:tc>
          <w:tcPr>
            <w:tcW w:w="487" w:type="dxa"/>
            <w:vMerge w:val="restart"/>
            <w:tcBorders>
              <w:top w:val="single" w:sz="8" w:space="0" w:color="auto"/>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UF</w:t>
            </w:r>
          </w:p>
        </w:tc>
        <w:tc>
          <w:tcPr>
            <w:tcW w:w="900" w:type="dxa"/>
            <w:vMerge w:val="restart"/>
            <w:tcBorders>
              <w:top w:val="single" w:sz="8" w:space="0" w:color="auto"/>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Municípios</w:t>
            </w:r>
          </w:p>
        </w:tc>
        <w:tc>
          <w:tcPr>
            <w:tcW w:w="12788" w:type="dxa"/>
            <w:gridSpan w:val="14"/>
            <w:tcBorders>
              <w:top w:val="single" w:sz="8" w:space="0" w:color="auto"/>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MEMÓRIAS DE CÁLCULO</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0895" w:type="dxa"/>
            <w:gridSpan w:val="11"/>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VIGILÂNCIA EPIDEMIOLÓGICA E AMBIENTAL</w:t>
            </w:r>
          </w:p>
        </w:tc>
        <w:tc>
          <w:tcPr>
            <w:tcW w:w="1893" w:type="dxa"/>
            <w:gridSpan w:val="3"/>
            <w:tcBorders>
              <w:top w:val="single" w:sz="8" w:space="0" w:color="auto"/>
              <w:left w:val="nil"/>
              <w:bottom w:val="single" w:sz="8" w:space="0" w:color="auto"/>
              <w:right w:val="single" w:sz="8" w:space="0" w:color="000000"/>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VIGILÂNCIA SANITÁRIA</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540"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TFVS</w:t>
            </w:r>
          </w:p>
        </w:tc>
        <w:tc>
          <w:tcPr>
            <w:tcW w:w="1620" w:type="dxa"/>
            <w:vMerge w:val="restart"/>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NÚCLEO VIG EPIDEMIO HOSPITALAR</w:t>
            </w:r>
          </w:p>
        </w:tc>
        <w:tc>
          <w:tcPr>
            <w:tcW w:w="720"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SVO</w:t>
            </w:r>
          </w:p>
        </w:tc>
        <w:tc>
          <w:tcPr>
            <w:tcW w:w="1080" w:type="dxa"/>
            <w:vMerge w:val="restart"/>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PROMOÇÃO À SAÚDE</w:t>
            </w:r>
          </w:p>
        </w:tc>
        <w:tc>
          <w:tcPr>
            <w:tcW w:w="1260" w:type="dxa"/>
            <w:vMerge w:val="restart"/>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RESISTÊNCIA</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INSETICIDA</w:t>
            </w:r>
          </w:p>
        </w:tc>
        <w:tc>
          <w:tcPr>
            <w:tcW w:w="1080"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CÂNCER DE</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BASE POP</w:t>
            </w:r>
          </w:p>
        </w:tc>
        <w:tc>
          <w:tcPr>
            <w:tcW w:w="720"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val="es-ES_tradnl" w:eastAsia="pt-BR"/>
              </w:rPr>
              <w:t>LACEN</w:t>
            </w:r>
          </w:p>
        </w:tc>
        <w:tc>
          <w:tcPr>
            <w:tcW w:w="720"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val="es-ES_tradnl" w:eastAsia="pt-BR"/>
              </w:rPr>
              <w:t>VIGISUS II</w:t>
            </w:r>
          </w:p>
        </w:tc>
        <w:tc>
          <w:tcPr>
            <w:tcW w:w="1080" w:type="dxa"/>
            <w:vMerge w:val="restart"/>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CAMPANHA</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VACINAÇÃO</w:t>
            </w:r>
          </w:p>
        </w:tc>
        <w:tc>
          <w:tcPr>
            <w:tcW w:w="720"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DST/</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AIDS</w:t>
            </w:r>
          </w:p>
        </w:tc>
        <w:tc>
          <w:tcPr>
            <w:tcW w:w="1355" w:type="dxa"/>
            <w:vMerge w:val="restart"/>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CONTRATAÇÃO DE AGENTE</w:t>
            </w:r>
          </w:p>
        </w:tc>
        <w:tc>
          <w:tcPr>
            <w:tcW w:w="1165" w:type="dxa"/>
            <w:gridSpan w:val="2"/>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TFVISA</w:t>
            </w:r>
          </w:p>
        </w:tc>
        <w:tc>
          <w:tcPr>
            <w:tcW w:w="728" w:type="dxa"/>
            <w:vMerge w:val="restart"/>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TAXAS</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PAB VISA</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TAM</w:t>
            </w: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487" w:type="dxa"/>
            <w:tcBorders>
              <w:top w:val="nil"/>
              <w:left w:val="single" w:sz="8" w:space="0" w:color="auto"/>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0"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5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625"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4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728" w:type="dxa"/>
            <w:tcBorders>
              <w:top w:val="nil"/>
              <w:left w:val="nil"/>
              <w:bottom w:val="single" w:sz="8" w:space="0" w:color="auto"/>
              <w:right w:val="single" w:sz="8" w:space="0" w:color="auto"/>
            </w:tcBorders>
            <w:noWrap/>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bookmarkStart w:id="3" w:name="OLE_LINK4"/>
      <w:r w:rsidRPr="004A3107">
        <w:rPr>
          <w:rFonts w:ascii="Arial" w:eastAsia="Times New Roman" w:hAnsi="Arial" w:cs="Arial"/>
          <w:sz w:val="24"/>
          <w:szCs w:val="24"/>
          <w:lang w:eastAsia="pt-BR"/>
        </w:rPr>
        <w:t>ANEXO I – d - BLOCO DE FINANCIAMENTO DA ASSISTÊNCIA FARMACÊUTICA</w:t>
      </w:r>
      <w:bookmarkEnd w:id="3"/>
    </w:p>
    <w:tbl>
      <w:tblPr>
        <w:tblW w:w="14175" w:type="dxa"/>
        <w:tblInd w:w="68" w:type="dxa"/>
        <w:tblCellMar>
          <w:left w:w="0" w:type="dxa"/>
          <w:right w:w="0" w:type="dxa"/>
        </w:tblCellMar>
        <w:tblLook w:val="04A0"/>
      </w:tblPr>
      <w:tblGrid>
        <w:gridCol w:w="432"/>
        <w:gridCol w:w="1638"/>
        <w:gridCol w:w="1872"/>
        <w:gridCol w:w="1600"/>
        <w:gridCol w:w="1922"/>
        <w:gridCol w:w="1867"/>
        <w:gridCol w:w="1563"/>
        <w:gridCol w:w="1593"/>
        <w:gridCol w:w="1688"/>
      </w:tblGrid>
      <w:tr w:rsidR="00FE4BCC" w:rsidRPr="004A3107" w:rsidTr="00FE4BCC">
        <w:trPr>
          <w:trHeight w:val="170"/>
        </w:trPr>
        <w:tc>
          <w:tcPr>
            <w:tcW w:w="14175" w:type="dxa"/>
            <w:gridSpan w:val="9"/>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MEMÓRIAS DE CÁLCULO</w:t>
            </w:r>
          </w:p>
        </w:tc>
      </w:tr>
      <w:tr w:rsidR="00FE4BCC" w:rsidRPr="004A3107" w:rsidTr="00FE4BCC">
        <w:trPr>
          <w:trHeight w:val="170"/>
        </w:trPr>
        <w:tc>
          <w:tcPr>
            <w:tcW w:w="432" w:type="dxa"/>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UF</w:t>
            </w:r>
          </w:p>
        </w:tc>
        <w:tc>
          <w:tcPr>
            <w:tcW w:w="163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Municípios</w:t>
            </w:r>
          </w:p>
        </w:tc>
        <w:tc>
          <w:tcPr>
            <w:tcW w:w="12105" w:type="dxa"/>
            <w:gridSpan w:val="7"/>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COMPONENTE BÁSICO</w:t>
            </w:r>
          </w:p>
        </w:tc>
      </w:tr>
      <w:tr w:rsidR="00FE4BCC" w:rsidRPr="004A3107" w:rsidTr="00FE4BCC">
        <w:trPr>
          <w:cantSplit/>
          <w:trHeight w:val="170"/>
        </w:trPr>
        <w:tc>
          <w:tcPr>
            <w:tcW w:w="432" w:type="dxa"/>
            <w:vMerge w:val="restart"/>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38" w:type="dxa"/>
            <w:vMerge w:val="restart"/>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7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PARTE FIXA</w:t>
            </w:r>
          </w:p>
        </w:tc>
        <w:tc>
          <w:tcPr>
            <w:tcW w:w="10233" w:type="dxa"/>
            <w:gridSpan w:val="6"/>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PARTE VARIÁVEL</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87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 a assistência farmacêutica básica</w:t>
            </w:r>
          </w:p>
        </w:tc>
        <w:tc>
          <w:tcPr>
            <w:tcW w:w="160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Hipertensão e Diabetes</w:t>
            </w:r>
          </w:p>
        </w:tc>
        <w:tc>
          <w:tcPr>
            <w:tcW w:w="192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Asma e Rinite</w:t>
            </w:r>
          </w:p>
        </w:tc>
        <w:tc>
          <w:tcPr>
            <w:tcW w:w="1867"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Saúde da Mulher</w:t>
            </w:r>
          </w:p>
        </w:tc>
        <w:tc>
          <w:tcPr>
            <w:tcW w:w="1563"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Saúde Mental</w:t>
            </w:r>
          </w:p>
        </w:tc>
        <w:tc>
          <w:tcPr>
            <w:tcW w:w="1593"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Combate ao Tabagismo</w:t>
            </w:r>
          </w:p>
        </w:tc>
        <w:tc>
          <w:tcPr>
            <w:tcW w:w="168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Alimentação e Nutrição</w:t>
            </w:r>
          </w:p>
        </w:tc>
      </w:tr>
      <w:tr w:rsidR="00FE4BCC" w:rsidRPr="004A3107" w:rsidTr="00FE4BCC">
        <w:trPr>
          <w:trHeight w:val="170"/>
        </w:trPr>
        <w:tc>
          <w:tcPr>
            <w:tcW w:w="432" w:type="dxa"/>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3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7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0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2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67"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563"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593"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88"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14175" w:type="dxa"/>
            <w:gridSpan w:val="9"/>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COMPONENTE ESTRATÉGICO</w:t>
            </w:r>
          </w:p>
        </w:tc>
      </w:tr>
      <w:tr w:rsidR="00FE4BCC" w:rsidRPr="004A3107" w:rsidTr="00FE4BCC">
        <w:trPr>
          <w:cantSplit/>
          <w:trHeight w:val="170"/>
        </w:trPr>
        <w:tc>
          <w:tcPr>
            <w:tcW w:w="2070" w:type="dxa"/>
            <w:gridSpan w:val="2"/>
            <w:vMerge w:val="restart"/>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Aquisição centralizada no Ministério da Saúde</w:t>
            </w:r>
          </w:p>
        </w:tc>
        <w:tc>
          <w:tcPr>
            <w:tcW w:w="187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Endemias</w:t>
            </w:r>
          </w:p>
        </w:tc>
        <w:tc>
          <w:tcPr>
            <w:tcW w:w="160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spellStart"/>
            <w:r w:rsidRPr="004A3107">
              <w:rPr>
                <w:rFonts w:ascii="Arial" w:eastAsia="Times New Roman" w:hAnsi="Arial" w:cs="Arial"/>
                <w:sz w:val="24"/>
                <w:szCs w:val="24"/>
                <w:lang w:eastAsia="pt-BR"/>
              </w:rPr>
              <w:t>Anti-retrovirais</w:t>
            </w:r>
            <w:proofErr w:type="spellEnd"/>
            <w:r w:rsidRPr="004A3107">
              <w:rPr>
                <w:rFonts w:ascii="Arial" w:eastAsia="Times New Roman" w:hAnsi="Arial" w:cs="Arial"/>
                <w:sz w:val="24"/>
                <w:szCs w:val="24"/>
                <w:lang w:eastAsia="pt-BR"/>
              </w:rPr>
              <w:t xml:space="preserve"> do Programa DST/</w:t>
            </w:r>
            <w:proofErr w:type="spellStart"/>
            <w:proofErr w:type="gramStart"/>
            <w:r w:rsidRPr="004A3107">
              <w:rPr>
                <w:rFonts w:ascii="Arial" w:eastAsia="Times New Roman" w:hAnsi="Arial" w:cs="Arial"/>
                <w:sz w:val="24"/>
                <w:szCs w:val="24"/>
                <w:lang w:eastAsia="pt-BR"/>
              </w:rPr>
              <w:t>Aids</w:t>
            </w:r>
            <w:proofErr w:type="spellEnd"/>
            <w:proofErr w:type="gramEnd"/>
          </w:p>
        </w:tc>
        <w:tc>
          <w:tcPr>
            <w:tcW w:w="192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spellStart"/>
            <w:r w:rsidRPr="004A3107">
              <w:rPr>
                <w:rFonts w:ascii="Arial" w:eastAsia="Times New Roman" w:hAnsi="Arial" w:cs="Arial"/>
                <w:sz w:val="24"/>
                <w:szCs w:val="24"/>
                <w:lang w:eastAsia="pt-BR"/>
              </w:rPr>
              <w:t>Imunobiológicos</w:t>
            </w:r>
            <w:proofErr w:type="spellEnd"/>
          </w:p>
        </w:tc>
        <w:tc>
          <w:tcPr>
            <w:tcW w:w="1867"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Sangue e </w:t>
            </w:r>
            <w:proofErr w:type="spellStart"/>
            <w:r w:rsidRPr="004A3107">
              <w:rPr>
                <w:rFonts w:ascii="Arial" w:eastAsia="Times New Roman" w:hAnsi="Arial" w:cs="Arial"/>
                <w:sz w:val="24"/>
                <w:szCs w:val="24"/>
                <w:lang w:eastAsia="pt-BR"/>
              </w:rPr>
              <w:t>Hemoderivados</w:t>
            </w:r>
            <w:proofErr w:type="spellEnd"/>
          </w:p>
        </w:tc>
        <w:tc>
          <w:tcPr>
            <w:tcW w:w="4844" w:type="dxa"/>
            <w:gridSpan w:val="3"/>
            <w:vMerge w:val="restart"/>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cantSplit/>
          <w:trHeight w:val="170"/>
        </w:trPr>
        <w:tc>
          <w:tcPr>
            <w:tcW w:w="0" w:type="auto"/>
            <w:gridSpan w:val="2"/>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87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60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22"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67"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0" w:type="auto"/>
            <w:gridSpan w:val="3"/>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r>
      <w:tr w:rsidR="00FE4BCC" w:rsidRPr="004A3107" w:rsidTr="00FE4BCC">
        <w:trPr>
          <w:trHeight w:val="170"/>
        </w:trPr>
        <w:tc>
          <w:tcPr>
            <w:tcW w:w="2070" w:type="dxa"/>
            <w:gridSpan w:val="2"/>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ESTADOS</w:t>
            </w:r>
          </w:p>
        </w:tc>
        <w:tc>
          <w:tcPr>
            <w:tcW w:w="12105" w:type="dxa"/>
            <w:gridSpan w:val="7"/>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COMPONENTE MEDICAMENTOS</w:t>
            </w:r>
            <w:proofErr w:type="gramEnd"/>
            <w:r w:rsidRPr="004A3107">
              <w:rPr>
                <w:rFonts w:ascii="Arial" w:eastAsia="Times New Roman" w:hAnsi="Arial" w:cs="Arial"/>
                <w:sz w:val="24"/>
                <w:szCs w:val="24"/>
                <w:lang w:eastAsia="pt-BR"/>
              </w:rPr>
              <w:t xml:space="preserve"> DE DISPENSAÇÃO EXCEPCIONAL</w:t>
            </w:r>
          </w:p>
        </w:tc>
      </w:tr>
      <w:tr w:rsidR="00FE4BCC" w:rsidRPr="004A3107" w:rsidTr="00FE4BCC">
        <w:trPr>
          <w:cantSplit/>
          <w:trHeight w:val="170"/>
        </w:trPr>
        <w:tc>
          <w:tcPr>
            <w:tcW w:w="2070" w:type="dxa"/>
            <w:gridSpan w:val="2"/>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472" w:type="dxa"/>
            <w:gridSpan w:val="2"/>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Medicamentos da Tabela de procedimentos SIA/SUS</w:t>
            </w:r>
          </w:p>
        </w:tc>
        <w:tc>
          <w:tcPr>
            <w:tcW w:w="8633" w:type="dxa"/>
            <w:gridSpan w:val="5"/>
            <w:vMerge w:val="restart"/>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cantSplit/>
          <w:trHeight w:val="170"/>
        </w:trPr>
        <w:tc>
          <w:tcPr>
            <w:tcW w:w="2070" w:type="dxa"/>
            <w:gridSpan w:val="2"/>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472" w:type="dxa"/>
            <w:gridSpan w:val="2"/>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0" w:type="auto"/>
            <w:gridSpan w:val="5"/>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ANEXO I – e - BLOCO DE FINANCIAMENTO DA GESTÃO DO SUS</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MEMÓRIAS DE CÁLCULO</w:t>
      </w:r>
    </w:p>
    <w:tbl>
      <w:tblPr>
        <w:tblW w:w="0" w:type="auto"/>
        <w:tblInd w:w="68" w:type="dxa"/>
        <w:tblCellMar>
          <w:left w:w="0" w:type="dxa"/>
          <w:right w:w="0" w:type="dxa"/>
        </w:tblCellMar>
        <w:tblLook w:val="04A0"/>
      </w:tblPr>
      <w:tblGrid>
        <w:gridCol w:w="376"/>
        <w:gridCol w:w="1178"/>
        <w:gridCol w:w="1637"/>
        <w:gridCol w:w="1498"/>
        <w:gridCol w:w="1471"/>
        <w:gridCol w:w="1672"/>
        <w:gridCol w:w="978"/>
        <w:gridCol w:w="1098"/>
        <w:gridCol w:w="1378"/>
        <w:gridCol w:w="1243"/>
        <w:gridCol w:w="1437"/>
      </w:tblGrid>
      <w:tr w:rsidR="00FE4BCC" w:rsidRPr="004A3107" w:rsidTr="00FE4BCC">
        <w:trPr>
          <w:cantSplit/>
          <w:trHeight w:val="170"/>
        </w:trPr>
        <w:tc>
          <w:tcPr>
            <w:tcW w:w="791" w:type="dxa"/>
            <w:vMerge w:val="restart"/>
            <w:tcBorders>
              <w:top w:val="single" w:sz="8" w:space="0" w:color="auto"/>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UF</w:t>
            </w:r>
          </w:p>
        </w:tc>
        <w:tc>
          <w:tcPr>
            <w:tcW w:w="831" w:type="dxa"/>
            <w:vMerge w:val="restart"/>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Municípios</w:t>
            </w:r>
          </w:p>
        </w:tc>
        <w:tc>
          <w:tcPr>
            <w:tcW w:w="12553" w:type="dxa"/>
            <w:gridSpan w:val="9"/>
            <w:tcBorders>
              <w:top w:val="single" w:sz="8" w:space="0" w:color="auto"/>
              <w:left w:val="nil"/>
              <w:bottom w:val="single" w:sz="8" w:space="0" w:color="auto"/>
              <w:right w:val="single" w:sz="8" w:space="0" w:color="000000"/>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COMPONENTE PARA A QUALIFICAÇÃO DA GESTÃO DO SUS</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45"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Regulação, Controle, Avaliação, Auditoria e Monitoramento</w:t>
            </w:r>
          </w:p>
        </w:tc>
        <w:tc>
          <w:tcPr>
            <w:tcW w:w="126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Planejamento e Orçamento</w:t>
            </w:r>
          </w:p>
        </w:tc>
        <w:tc>
          <w:tcPr>
            <w:tcW w:w="114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Programação</w:t>
            </w:r>
          </w:p>
        </w:tc>
        <w:tc>
          <w:tcPr>
            <w:tcW w:w="1328"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Regionalização</w:t>
            </w:r>
          </w:p>
        </w:tc>
        <w:tc>
          <w:tcPr>
            <w:tcW w:w="827"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Gestão do Trabalho</w:t>
            </w:r>
          </w:p>
        </w:tc>
        <w:tc>
          <w:tcPr>
            <w:tcW w:w="993"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Educação em Saúde</w:t>
            </w:r>
          </w:p>
        </w:tc>
        <w:tc>
          <w:tcPr>
            <w:tcW w:w="1832"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 à Participação e Controle Social</w:t>
            </w:r>
          </w:p>
        </w:tc>
        <w:tc>
          <w:tcPr>
            <w:tcW w:w="1440"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Informação e Informática em Saúde</w:t>
            </w:r>
          </w:p>
        </w:tc>
        <w:tc>
          <w:tcPr>
            <w:tcW w:w="1988" w:type="dxa"/>
            <w:tcBorders>
              <w:top w:val="nil"/>
              <w:left w:val="nil"/>
              <w:bottom w:val="nil"/>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Estruturação de serviços e organização de ações de assistência farmacêutica</w:t>
            </w:r>
          </w:p>
        </w:tc>
      </w:tr>
      <w:tr w:rsidR="00FE4BCC" w:rsidRPr="004A3107" w:rsidTr="00FE4BCC">
        <w:trPr>
          <w:trHeight w:val="170"/>
        </w:trPr>
        <w:tc>
          <w:tcPr>
            <w:tcW w:w="791"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3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45"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4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28"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27"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93"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32"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88" w:type="dxa"/>
            <w:tcBorders>
              <w:top w:val="single" w:sz="8" w:space="0" w:color="auto"/>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791"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3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4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2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27"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9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3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8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791"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3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4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2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27"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9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3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8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791"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3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4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2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27"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9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3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8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r w:rsidR="00FE4BCC" w:rsidRPr="004A3107" w:rsidTr="00FE4BCC">
        <w:trPr>
          <w:trHeight w:val="170"/>
        </w:trPr>
        <w:tc>
          <w:tcPr>
            <w:tcW w:w="791"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31"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745"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26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1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32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27"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993"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832"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440"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1988" w:type="dxa"/>
            <w:tcBorders>
              <w:top w:val="nil"/>
              <w:left w:val="nil"/>
              <w:bottom w:val="single" w:sz="8" w:space="0" w:color="auto"/>
              <w:right w:val="single" w:sz="8" w:space="0" w:color="auto"/>
            </w:tcBorders>
            <w:tcMar>
              <w:top w:w="15" w:type="dxa"/>
              <w:left w:w="15" w:type="dxa"/>
              <w:bottom w:w="0" w:type="dxa"/>
              <w:right w:w="15" w:type="dxa"/>
            </w:tcMar>
            <w:vAlign w:val="center"/>
            <w:hideMark/>
          </w:tcPr>
          <w:p w:rsidR="00FE4BCC" w:rsidRPr="004A3107" w:rsidRDefault="00FE4BCC" w:rsidP="00FE4BCC">
            <w:pPr>
              <w:spacing w:after="0" w:line="170" w:lineRule="atLeast"/>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bl>
      <w:tblPr>
        <w:tblW w:w="0" w:type="auto"/>
        <w:tblInd w:w="70" w:type="dxa"/>
        <w:tblCellMar>
          <w:left w:w="0" w:type="dxa"/>
          <w:right w:w="0" w:type="dxa"/>
        </w:tblCellMar>
        <w:tblLook w:val="04A0"/>
      </w:tblPr>
      <w:tblGrid>
        <w:gridCol w:w="337"/>
        <w:gridCol w:w="1054"/>
        <w:gridCol w:w="1204"/>
        <w:gridCol w:w="1204"/>
        <w:gridCol w:w="1262"/>
        <w:gridCol w:w="881"/>
        <w:gridCol w:w="1158"/>
        <w:gridCol w:w="1355"/>
        <w:gridCol w:w="1204"/>
        <w:gridCol w:w="1481"/>
        <w:gridCol w:w="1193"/>
        <w:gridCol w:w="1621"/>
      </w:tblGrid>
      <w:tr w:rsidR="00FE4BCC" w:rsidRPr="004A3107" w:rsidTr="00FE4BCC">
        <w:trPr>
          <w:cantSplit/>
          <w:trHeight w:val="170"/>
        </w:trPr>
        <w:tc>
          <w:tcPr>
            <w:tcW w:w="360" w:type="dxa"/>
            <w:vMerge w:val="restart"/>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U</w:t>
            </w:r>
            <w:r w:rsidRPr="004A3107">
              <w:rPr>
                <w:rFonts w:ascii="Arial" w:eastAsia="Times New Roman" w:hAnsi="Arial" w:cs="Arial"/>
                <w:sz w:val="24"/>
                <w:szCs w:val="24"/>
                <w:lang w:eastAsia="pt-BR"/>
              </w:rPr>
              <w:lastRenderedPageBreak/>
              <w:t>F</w:t>
            </w:r>
          </w:p>
        </w:tc>
        <w:tc>
          <w:tcPr>
            <w:tcW w:w="835" w:type="dxa"/>
            <w:vMerge w:val="restart"/>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Municípi</w:t>
            </w:r>
            <w:r w:rsidRPr="004A3107">
              <w:rPr>
                <w:rFonts w:ascii="Arial" w:eastAsia="Times New Roman" w:hAnsi="Arial" w:cs="Arial"/>
                <w:sz w:val="24"/>
                <w:szCs w:val="24"/>
                <w:lang w:eastAsia="pt-BR"/>
              </w:rPr>
              <w:lastRenderedPageBreak/>
              <w:t>os</w:t>
            </w:r>
          </w:p>
        </w:tc>
        <w:tc>
          <w:tcPr>
            <w:tcW w:w="12978" w:type="dxa"/>
            <w:gridSpan w:val="10"/>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COMPONENTE PARA A IMPLANTAÇÃO DE AÇÕES E SERVIÇOS DE SAÚDE</w:t>
            </w:r>
          </w:p>
        </w:tc>
      </w:tr>
      <w:tr w:rsidR="00FE4BCC" w:rsidRPr="004A3107" w:rsidTr="00FE4BCC">
        <w:trPr>
          <w:cantSplit/>
          <w:trHeight w:val="170"/>
        </w:trPr>
        <w:tc>
          <w:tcPr>
            <w:tcW w:w="0" w:type="auto"/>
            <w:vMerge/>
            <w:tcBorders>
              <w:top w:val="single" w:sz="8" w:space="0" w:color="auto"/>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900" w:type="dxa"/>
            <w:tcBorders>
              <w:top w:val="nil"/>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de Centros de Atenção Psicossocial</w:t>
            </w:r>
          </w:p>
        </w:tc>
        <w:tc>
          <w:tcPr>
            <w:tcW w:w="90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Qualificação de Centros de Atenção Psicossocial</w:t>
            </w:r>
          </w:p>
        </w:tc>
        <w:tc>
          <w:tcPr>
            <w:tcW w:w="108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e Residências Terapêuticas em Saúde Mental</w:t>
            </w:r>
          </w:p>
        </w:tc>
        <w:tc>
          <w:tcPr>
            <w:tcW w:w="126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Fomento para ações de redução de danos em CAPS ad</w:t>
            </w:r>
          </w:p>
        </w:tc>
        <w:tc>
          <w:tcPr>
            <w:tcW w:w="252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Inclusão social pelo trabalho para pessoas portadoras de transtornos mentais e outros transtornos decorrentes do uso de álcool e outras drogas</w:t>
            </w:r>
          </w:p>
        </w:tc>
        <w:tc>
          <w:tcPr>
            <w:tcW w:w="144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Implantação de Centros de Especialidade </w:t>
            </w:r>
            <w:proofErr w:type="spellStart"/>
            <w:r w:rsidRPr="004A3107">
              <w:rPr>
                <w:rFonts w:ascii="Arial" w:eastAsia="Times New Roman" w:hAnsi="Arial" w:cs="Arial"/>
                <w:sz w:val="24"/>
                <w:szCs w:val="24"/>
                <w:lang w:eastAsia="pt-BR"/>
              </w:rPr>
              <w:t>Od</w:t>
            </w:r>
            <w:proofErr w:type="spellEnd"/>
            <w:r w:rsidRPr="004A3107">
              <w:rPr>
                <w:rFonts w:ascii="Arial" w:eastAsia="Times New Roman" w:hAnsi="Arial" w:cs="Arial"/>
                <w:sz w:val="24"/>
                <w:szCs w:val="24"/>
                <w:lang w:eastAsia="pt-BR"/>
              </w:rPr>
              <w:t xml:space="preserve"> ontológicas – CEO</w:t>
            </w:r>
          </w:p>
        </w:tc>
        <w:tc>
          <w:tcPr>
            <w:tcW w:w="162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do serviço de atendimento móvel de Urgência – SAMU</w:t>
            </w:r>
          </w:p>
        </w:tc>
        <w:tc>
          <w:tcPr>
            <w:tcW w:w="108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Reestruturação dos Hospitais Colônias de Hanseníase</w:t>
            </w:r>
          </w:p>
        </w:tc>
        <w:tc>
          <w:tcPr>
            <w:tcW w:w="1080"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de Centros de Saúde do Trabalhador</w:t>
            </w:r>
          </w:p>
        </w:tc>
        <w:tc>
          <w:tcPr>
            <w:tcW w:w="1098" w:type="dxa"/>
            <w:tcBorders>
              <w:top w:val="single" w:sz="8" w:space="0" w:color="auto"/>
              <w:left w:val="nil"/>
              <w:bottom w:val="single" w:sz="8" w:space="0" w:color="auto"/>
              <w:right w:val="single" w:sz="8" w:space="0" w:color="auto"/>
            </w:tcBorders>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Adesão à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dos Hospitais de Ensino</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ANEXO II - BLOCO DE FINANCIAMENTO DE GESTÃO DO SUS</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COMPONENTE DE QUALIFICAÇÃO DA GESTÃO</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bl>
      <w:tblPr>
        <w:tblW w:w="0" w:type="auto"/>
        <w:tblInd w:w="68" w:type="dxa"/>
        <w:tblCellMar>
          <w:left w:w="0" w:type="dxa"/>
          <w:right w:w="0" w:type="dxa"/>
        </w:tblCellMar>
        <w:tblLook w:val="04A0"/>
      </w:tblPr>
      <w:tblGrid>
        <w:gridCol w:w="1837"/>
        <w:gridCol w:w="5446"/>
        <w:gridCol w:w="1555"/>
        <w:gridCol w:w="1533"/>
        <w:gridCol w:w="1141"/>
        <w:gridCol w:w="2444"/>
      </w:tblGrid>
      <w:tr w:rsidR="00FE4BCC" w:rsidRPr="004A3107" w:rsidTr="00FE4BCC">
        <w:trPr>
          <w:cantSplit/>
          <w:trHeight w:val="170"/>
        </w:trPr>
        <w:tc>
          <w:tcPr>
            <w:tcW w:w="676" w:type="pct"/>
            <w:tcBorders>
              <w:top w:val="single" w:sz="8" w:space="0" w:color="auto"/>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AÇÃO</w:t>
            </w:r>
          </w:p>
        </w:tc>
        <w:tc>
          <w:tcPr>
            <w:tcW w:w="1969"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OBJETIVO</w:t>
            </w:r>
          </w:p>
        </w:tc>
        <w:tc>
          <w:tcPr>
            <w:tcW w:w="571"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MONTANTE DE RECURSO ANUAL - 2007</w:t>
            </w:r>
          </w:p>
        </w:tc>
        <w:tc>
          <w:tcPr>
            <w:tcW w:w="571"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VALOR DE CADA PARCELA</w:t>
            </w:r>
          </w:p>
        </w:tc>
        <w:tc>
          <w:tcPr>
            <w:tcW w:w="320"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PARCELA</w:t>
            </w:r>
          </w:p>
        </w:tc>
        <w:tc>
          <w:tcPr>
            <w:tcW w:w="893"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CRITÉRIOS</w:t>
            </w:r>
          </w:p>
        </w:tc>
      </w:tr>
      <w:tr w:rsidR="00FE4BCC" w:rsidRPr="004A3107" w:rsidTr="00FE4BCC">
        <w:trPr>
          <w:cantSplit/>
          <w:trHeight w:val="170"/>
        </w:trPr>
        <w:tc>
          <w:tcPr>
            <w:tcW w:w="676" w:type="pct"/>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Regulação, Controle, </w:t>
            </w:r>
            <w:r w:rsidRPr="004A3107">
              <w:rPr>
                <w:rFonts w:ascii="Arial" w:eastAsia="Times New Roman" w:hAnsi="Arial" w:cs="Arial"/>
                <w:sz w:val="24"/>
                <w:szCs w:val="24"/>
                <w:lang w:eastAsia="pt-BR"/>
              </w:rPr>
              <w:lastRenderedPageBreak/>
              <w:t>Avaliação e Auditoria</w:t>
            </w:r>
          </w:p>
        </w:tc>
        <w:tc>
          <w:tcPr>
            <w:tcW w:w="1969"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Apoiar funcionamento dos Complexos Reguladores</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60 milhões</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spellStart"/>
            <w:r w:rsidRPr="004A3107">
              <w:rPr>
                <w:rFonts w:ascii="Arial" w:eastAsia="Times New Roman" w:hAnsi="Arial" w:cs="Arial"/>
                <w:sz w:val="24"/>
                <w:szCs w:val="24"/>
                <w:lang w:eastAsia="pt-BR"/>
              </w:rPr>
              <w:t>Ùnica</w:t>
            </w:r>
            <w:proofErr w:type="spellEnd"/>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Projeto de Regulação aprovado na CIB</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Mensal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Apoiar os sistemas estaduais, municipais e do Distrito Federal de Auditoria</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860 mil</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Única</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Implantar ações de monitoramento e avaliação nos estados e municípios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2</w:t>
            </w:r>
            <w:proofErr w:type="gramEnd"/>
            <w:r w:rsidRPr="004A3107">
              <w:rPr>
                <w:rFonts w:ascii="Arial" w:eastAsia="Times New Roman" w:hAnsi="Arial" w:cs="Arial"/>
                <w:sz w:val="24"/>
                <w:szCs w:val="24"/>
                <w:lang w:eastAsia="pt-BR"/>
              </w:rPr>
              <w:t xml:space="preserve"> milhões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Anual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r w:rsidR="00FE4BCC" w:rsidRPr="004A3107" w:rsidTr="00FE4BCC">
        <w:trPr>
          <w:cantSplit/>
          <w:trHeight w:val="170"/>
        </w:trPr>
        <w:tc>
          <w:tcPr>
            <w:tcW w:w="676" w:type="pct"/>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Planejamento e Orçamento</w:t>
            </w:r>
          </w:p>
        </w:tc>
        <w:tc>
          <w:tcPr>
            <w:tcW w:w="1969"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Apoiar as áreas de planejamento na implementação do </w:t>
            </w:r>
            <w:proofErr w:type="spellStart"/>
            <w:proofErr w:type="gramStart"/>
            <w:r w:rsidRPr="004A3107">
              <w:rPr>
                <w:rFonts w:ascii="Arial" w:eastAsia="Times New Roman" w:hAnsi="Arial" w:cs="Arial"/>
                <w:sz w:val="24"/>
                <w:szCs w:val="24"/>
                <w:lang w:eastAsia="pt-BR"/>
              </w:rPr>
              <w:t>PlanejaSUS</w:t>
            </w:r>
            <w:proofErr w:type="spellEnd"/>
            <w:proofErr w:type="gramEnd"/>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18 milhões</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Única</w:t>
            </w:r>
          </w:p>
        </w:tc>
        <w:tc>
          <w:tcPr>
            <w:tcW w:w="893" w:type="pct"/>
            <w:tcBorders>
              <w:top w:val="nil"/>
              <w:left w:val="nil"/>
              <w:bottom w:val="nil"/>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Elaboração e </w:t>
            </w:r>
            <w:proofErr w:type="spellStart"/>
            <w:r w:rsidRPr="004A3107">
              <w:rPr>
                <w:rFonts w:ascii="Arial" w:eastAsia="Times New Roman" w:hAnsi="Arial" w:cs="Arial"/>
                <w:sz w:val="24"/>
                <w:szCs w:val="24"/>
                <w:lang w:eastAsia="pt-BR"/>
              </w:rPr>
              <w:t>pactuação</w:t>
            </w:r>
            <w:proofErr w:type="spellEnd"/>
            <w:r w:rsidRPr="004A3107">
              <w:rPr>
                <w:rFonts w:ascii="Arial" w:eastAsia="Times New Roman" w:hAnsi="Arial" w:cs="Arial"/>
                <w:sz w:val="24"/>
                <w:szCs w:val="24"/>
                <w:lang w:eastAsia="pt-BR"/>
              </w:rPr>
              <w:t xml:space="preserve"> na CIB de programa de trabalho para organização e/ou reorganização</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893" w:type="pct"/>
            <w:tcBorders>
              <w:top w:val="nil"/>
              <w:left w:val="nil"/>
              <w:bottom w:val="nil"/>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das</w:t>
            </w:r>
            <w:proofErr w:type="gramEnd"/>
            <w:r w:rsidRPr="004A3107">
              <w:rPr>
                <w:rFonts w:ascii="Arial" w:eastAsia="Times New Roman" w:hAnsi="Arial" w:cs="Arial"/>
                <w:sz w:val="24"/>
                <w:szCs w:val="24"/>
                <w:lang w:eastAsia="pt-BR"/>
              </w:rPr>
              <w:t xml:space="preserve"> ações de planejamento, com vistas à efetivação do Sistema 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893" w:type="pct"/>
            <w:tcBorders>
              <w:top w:val="nil"/>
              <w:left w:val="nil"/>
              <w:bottom w:val="nil"/>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Planejamento do SUS e a conseguinte formulação dos instrumentos básicos do Planejamento.</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Conforme Portaria GM/MS nº 3.085, de 01/12/2006</w:t>
            </w:r>
          </w:p>
        </w:tc>
      </w:tr>
      <w:tr w:rsidR="00FE4BCC" w:rsidRPr="004A3107" w:rsidTr="00FE4BCC">
        <w:trPr>
          <w:cantSplit/>
          <w:trHeight w:val="170"/>
        </w:trPr>
        <w:tc>
          <w:tcPr>
            <w:tcW w:w="676" w:type="pct"/>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Regionalização</w:t>
            </w:r>
          </w:p>
        </w:tc>
        <w:tc>
          <w:tcPr>
            <w:tcW w:w="1969" w:type="pct"/>
            <w:tcBorders>
              <w:top w:val="nil"/>
              <w:left w:val="nil"/>
              <w:bottom w:val="single" w:sz="8" w:space="0" w:color="auto"/>
              <w:right w:val="single" w:sz="8" w:space="0" w:color="auto"/>
            </w:tcBorders>
            <w:tcMar>
              <w:top w:w="28" w:type="dxa"/>
              <w:left w:w="0" w:type="dxa"/>
              <w:bottom w:w="28" w:type="dxa"/>
              <w:right w:w="0" w:type="dxa"/>
            </w:tcMa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Apoiar o desenvolvimento e manutenção do PDR</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Apoiar a organização e funcionamento dos Colegiados de Gestão Regional</w:t>
            </w:r>
          </w:p>
        </w:tc>
        <w:tc>
          <w:tcPr>
            <w:tcW w:w="571" w:type="pct"/>
            <w:tcBorders>
              <w:top w:val="nil"/>
              <w:left w:val="nil"/>
              <w:bottom w:val="single" w:sz="8" w:space="0" w:color="auto"/>
              <w:right w:val="single" w:sz="8" w:space="0" w:color="auto"/>
            </w:tcBorders>
            <w:tcMar>
              <w:top w:w="28" w:type="dxa"/>
              <w:left w:w="0" w:type="dxa"/>
              <w:bottom w:w="28" w:type="dxa"/>
              <w:right w:w="0" w:type="dxa"/>
            </w:tcMa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 milhões</w:t>
            </w:r>
          </w:p>
        </w:tc>
        <w:tc>
          <w:tcPr>
            <w:tcW w:w="571" w:type="pct"/>
            <w:tcBorders>
              <w:top w:val="nil"/>
              <w:left w:val="nil"/>
              <w:bottom w:val="single" w:sz="8" w:space="0" w:color="auto"/>
              <w:right w:val="single" w:sz="8" w:space="0" w:color="auto"/>
            </w:tcBorders>
            <w:tcMar>
              <w:top w:w="28" w:type="dxa"/>
              <w:left w:w="0" w:type="dxa"/>
              <w:bottom w:w="28" w:type="dxa"/>
              <w:right w:w="0" w:type="dxa"/>
            </w:tcMa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R$ 20.000,00 por região de saúde</w:t>
            </w:r>
            <w:r w:rsidRPr="004A3107">
              <w:rPr>
                <w:rFonts w:ascii="Arial" w:eastAsia="Times New Roman" w:hAnsi="Arial" w:cs="Arial"/>
                <w:sz w:val="24"/>
                <w:szCs w:val="24"/>
                <w:vertAlign w:val="superscript"/>
                <w:lang w:eastAsia="pt-BR"/>
              </w:rPr>
              <w:t>1</w:t>
            </w:r>
          </w:p>
        </w:tc>
        <w:tc>
          <w:tcPr>
            <w:tcW w:w="320" w:type="pct"/>
            <w:tcBorders>
              <w:top w:val="nil"/>
              <w:left w:val="nil"/>
              <w:bottom w:val="single" w:sz="8" w:space="0" w:color="auto"/>
              <w:right w:val="single" w:sz="8" w:space="0" w:color="auto"/>
            </w:tcBorders>
            <w:tcMar>
              <w:top w:w="28" w:type="dxa"/>
              <w:left w:w="0" w:type="dxa"/>
              <w:bottom w:w="28" w:type="dxa"/>
              <w:right w:w="0" w:type="dxa"/>
            </w:tcMa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Anual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Formação de Colegiado de Gestão Regional com reconhecimento pela CIB – Estadual e informação a CIT para conhecimento</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SIS Fronteira</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R$ 15.254.778,00</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 fase do Projeto</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3</w:t>
            </w:r>
            <w:proofErr w:type="gramEnd"/>
            <w:r w:rsidRPr="004A3107">
              <w:rPr>
                <w:rFonts w:ascii="Arial" w:eastAsia="Times New Roman" w:hAnsi="Arial" w:cs="Arial"/>
                <w:sz w:val="24"/>
                <w:szCs w:val="24"/>
                <w:lang w:eastAsia="pt-BR"/>
              </w:rPr>
              <w:t xml:space="preserve"> vezes</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Adesão dos Municípios de até </w:t>
            </w:r>
            <w:proofErr w:type="gramStart"/>
            <w:r w:rsidRPr="004A3107">
              <w:rPr>
                <w:rFonts w:ascii="Arial" w:eastAsia="Times New Roman" w:hAnsi="Arial" w:cs="Arial"/>
                <w:sz w:val="24"/>
                <w:szCs w:val="24"/>
                <w:lang w:eastAsia="pt-BR"/>
              </w:rPr>
              <w:t>10 Km</w:t>
            </w:r>
            <w:proofErr w:type="gramEnd"/>
            <w:r w:rsidRPr="004A3107">
              <w:rPr>
                <w:rFonts w:ascii="Arial" w:eastAsia="Times New Roman" w:hAnsi="Arial" w:cs="Arial"/>
                <w:sz w:val="24"/>
                <w:szCs w:val="24"/>
                <w:lang w:eastAsia="pt-BR"/>
              </w:rPr>
              <w:t xml:space="preserve"> da fronteira ao Projeto - Início Fase I.</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969"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Promover a integração de ações e serviços de saúde na região de fronteira e contribuir para o fortalecimento dos sistemas locais de saúde nos municípios fronteiriços</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893" w:type="pct"/>
            <w:tcBorders>
              <w:top w:val="nil"/>
              <w:left w:val="nil"/>
              <w:bottom w:val="nil"/>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Conclusão da Fase  I e início da Fase II.</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Início da Fase III</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Conforme PT/GM nº 1.188 de 5/06/2006 e PT GM/MS nº 1.189 de 5/06/2006</w:t>
            </w:r>
          </w:p>
        </w:tc>
      </w:tr>
      <w:tr w:rsidR="00FE4BCC" w:rsidRPr="004A3107" w:rsidTr="00FE4BCC">
        <w:trPr>
          <w:cantSplit/>
          <w:trHeight w:val="170"/>
        </w:trPr>
        <w:tc>
          <w:tcPr>
            <w:tcW w:w="676" w:type="pct"/>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Educação na Saúde</w:t>
            </w: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Política Nacional de Educação Permanente em Saúde</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35 Milhões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Conforme Portaria específica a ser publicada.</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Trimestral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Formação de Profissionais de Nível Técnico</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50 Milhões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Conforme Portaria específica a ser publicada.</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Trimestral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r w:rsidR="00FE4BCC" w:rsidRPr="004A3107" w:rsidTr="00FE4BCC">
        <w:trPr>
          <w:cantSplit/>
          <w:trHeight w:val="170"/>
        </w:trPr>
        <w:tc>
          <w:tcPr>
            <w:tcW w:w="676" w:type="pc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Gestão do Trabalho</w:t>
            </w: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Fortalecer as áreas de gestão do trabalho e educação na saúde nas SES e SMS.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R$ 6.356.500,00</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Conforme estabelecido nas </w:t>
            </w:r>
            <w:proofErr w:type="gramStart"/>
            <w:r w:rsidRPr="004A3107">
              <w:rPr>
                <w:rFonts w:ascii="Arial" w:eastAsia="Times New Roman" w:hAnsi="Arial" w:cs="Arial"/>
                <w:sz w:val="24"/>
                <w:szCs w:val="24"/>
                <w:lang w:eastAsia="pt-BR"/>
              </w:rPr>
              <w:t>4</w:t>
            </w:r>
            <w:proofErr w:type="gramEnd"/>
            <w:r w:rsidRPr="004A3107">
              <w:rPr>
                <w:rFonts w:ascii="Arial" w:eastAsia="Times New Roman" w:hAnsi="Arial" w:cs="Arial"/>
                <w:sz w:val="24"/>
                <w:szCs w:val="24"/>
                <w:lang w:eastAsia="pt-BR"/>
              </w:rPr>
              <w:t xml:space="preserve"> etapas do componente I do </w:t>
            </w:r>
            <w:proofErr w:type="spellStart"/>
            <w:r w:rsidRPr="004A3107">
              <w:rPr>
                <w:rFonts w:ascii="Arial" w:eastAsia="Times New Roman" w:hAnsi="Arial" w:cs="Arial"/>
                <w:sz w:val="24"/>
                <w:szCs w:val="24"/>
                <w:lang w:eastAsia="pt-BR"/>
              </w:rPr>
              <w:t>ProgeSUS</w:t>
            </w:r>
            <w:proofErr w:type="spellEnd"/>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Única</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Critérios fixados na Portaria GM/MS nº 2261, de 26/09/ 2006</w:t>
            </w:r>
          </w:p>
        </w:tc>
      </w:tr>
      <w:tr w:rsidR="00FE4BCC" w:rsidRPr="004A3107" w:rsidTr="00FE4BCC">
        <w:trPr>
          <w:cantSplit/>
          <w:trHeight w:val="170"/>
        </w:trPr>
        <w:tc>
          <w:tcPr>
            <w:tcW w:w="676" w:type="pc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 à Participação do controle social</w:t>
            </w: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Ampliar mobilização dos movimentos sociais em defesa do SUS e da reforma sanitária;</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Fortalecer o processo de controle social, informatização, educação permanente e monitoramento.</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R$ 11 milhões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Bianual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r w:rsidR="00FE4BCC" w:rsidRPr="004A3107" w:rsidTr="00FE4BCC">
        <w:trPr>
          <w:cantSplit/>
          <w:trHeight w:val="170"/>
        </w:trPr>
        <w:tc>
          <w:tcPr>
            <w:tcW w:w="676" w:type="pct"/>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Informação e Informática em Saúde</w:t>
            </w:r>
          </w:p>
        </w:tc>
        <w:tc>
          <w:tcPr>
            <w:tcW w:w="1969" w:type="pct"/>
            <w:tcBorders>
              <w:top w:val="nil"/>
              <w:left w:val="nil"/>
              <w:bottom w:val="nil"/>
              <w:right w:val="single" w:sz="8" w:space="0" w:color="auto"/>
            </w:tcBorders>
            <w:tcMar>
              <w:top w:w="28" w:type="dxa"/>
              <w:left w:w="0" w:type="dxa"/>
              <w:bottom w:w="28" w:type="dxa"/>
              <w:right w:w="0" w:type="dxa"/>
            </w:tcMa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Gestão da Informação</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 Modelo BVS/Rede </w:t>
            </w:r>
            <w:proofErr w:type="spellStart"/>
            <w:proofErr w:type="gramStart"/>
            <w:r w:rsidRPr="004A3107">
              <w:rPr>
                <w:rFonts w:ascii="Arial" w:eastAsia="Times New Roman" w:hAnsi="Arial" w:cs="Arial"/>
                <w:sz w:val="24"/>
                <w:szCs w:val="24"/>
                <w:lang w:eastAsia="pt-BR"/>
              </w:rPr>
              <w:t>BiblioSVS</w:t>
            </w:r>
            <w:proofErr w:type="spellEnd"/>
            <w:proofErr w:type="gramEnd"/>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Política Editorial</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proofErr w:type="gramStart"/>
            <w:r w:rsidRPr="004A3107">
              <w:rPr>
                <w:rFonts w:ascii="Arial" w:eastAsia="Times New Roman" w:hAnsi="Arial" w:cs="Arial"/>
                <w:sz w:val="24"/>
                <w:szCs w:val="24"/>
                <w:lang w:eastAsia="pt-BR"/>
              </w:rPr>
              <w:t>2</w:t>
            </w:r>
            <w:proofErr w:type="gramEnd"/>
            <w:r w:rsidRPr="004A3107">
              <w:rPr>
                <w:rFonts w:ascii="Arial" w:eastAsia="Times New Roman" w:hAnsi="Arial" w:cs="Arial"/>
                <w:sz w:val="24"/>
                <w:szCs w:val="24"/>
                <w:lang w:eastAsia="pt-BR"/>
              </w:rPr>
              <w:t xml:space="preserve"> milhões</w:t>
            </w:r>
          </w:p>
        </w:tc>
        <w:tc>
          <w:tcPr>
            <w:tcW w:w="571"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vMerge w:val="restar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Bianual</w:t>
            </w:r>
          </w:p>
        </w:tc>
        <w:tc>
          <w:tcPr>
            <w:tcW w:w="893" w:type="pct"/>
            <w:tcBorders>
              <w:top w:val="nil"/>
              <w:left w:val="nil"/>
              <w:bottom w:val="nil"/>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Projeto aprovado na CIB</w:t>
            </w:r>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Realizar ações em pelo menos </w:t>
            </w:r>
            <w:proofErr w:type="gramStart"/>
            <w:r w:rsidRPr="004A3107">
              <w:rPr>
                <w:rFonts w:ascii="Arial" w:eastAsia="Times New Roman" w:hAnsi="Arial" w:cs="Arial"/>
                <w:sz w:val="24"/>
                <w:szCs w:val="24"/>
                <w:lang w:eastAsia="pt-BR"/>
              </w:rPr>
              <w:t>1</w:t>
            </w:r>
            <w:proofErr w:type="gramEnd"/>
            <w:r w:rsidRPr="004A3107">
              <w:rPr>
                <w:rFonts w:ascii="Arial" w:eastAsia="Times New Roman" w:hAnsi="Arial" w:cs="Arial"/>
                <w:sz w:val="24"/>
                <w:szCs w:val="24"/>
                <w:lang w:eastAsia="pt-BR"/>
              </w:rPr>
              <w:t xml:space="preserve"> dos 4 eixos</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 Gestão </w:t>
            </w:r>
            <w:proofErr w:type="spellStart"/>
            <w:r w:rsidRPr="004A3107">
              <w:rPr>
                <w:rFonts w:ascii="Arial" w:eastAsia="Times New Roman" w:hAnsi="Arial" w:cs="Arial"/>
                <w:sz w:val="24"/>
                <w:szCs w:val="24"/>
                <w:lang w:eastAsia="pt-BR"/>
              </w:rPr>
              <w:t>arquivilógica</w:t>
            </w:r>
            <w:proofErr w:type="spellEnd"/>
          </w:p>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Patrimônio cultural da saúde</w:t>
            </w: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0" w:type="auto"/>
            <w:vMerge/>
            <w:tcBorders>
              <w:top w:val="nil"/>
              <w:left w:val="nil"/>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 PT GM/MS nº 1.958 de 16/09/2004</w:t>
            </w:r>
          </w:p>
        </w:tc>
      </w:tr>
      <w:tr w:rsidR="00FE4BCC" w:rsidRPr="004A3107" w:rsidTr="00FE4BCC">
        <w:trPr>
          <w:cantSplit/>
          <w:trHeight w:val="170"/>
        </w:trPr>
        <w:tc>
          <w:tcPr>
            <w:tcW w:w="676" w:type="pc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Estruturação de serviços e organização de ações de assistência farmacêutica</w:t>
            </w:r>
          </w:p>
        </w:tc>
        <w:tc>
          <w:tcPr>
            <w:tcW w:w="196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Estruturar e organizar os serviços e ações de assistência farmacêutica.</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R$ 6 milhões</w:t>
            </w:r>
          </w:p>
        </w:tc>
        <w:tc>
          <w:tcPr>
            <w:tcW w:w="571"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w:t>
            </w:r>
          </w:p>
        </w:tc>
        <w:tc>
          <w:tcPr>
            <w:tcW w:w="320"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Anual</w:t>
            </w:r>
          </w:p>
        </w:tc>
        <w:tc>
          <w:tcPr>
            <w:tcW w:w="893"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 ser definido em portaria específica.</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 Os recursos referentes às regiões de saúde </w:t>
      </w:r>
      <w:proofErr w:type="spellStart"/>
      <w:r w:rsidRPr="004A3107">
        <w:rPr>
          <w:rFonts w:ascii="Arial" w:eastAsia="Times New Roman" w:hAnsi="Arial" w:cs="Arial"/>
          <w:sz w:val="24"/>
          <w:szCs w:val="24"/>
          <w:lang w:eastAsia="pt-BR"/>
        </w:rPr>
        <w:t>intramunicipais</w:t>
      </w:r>
      <w:proofErr w:type="spellEnd"/>
      <w:r w:rsidRPr="004A3107">
        <w:rPr>
          <w:rFonts w:ascii="Arial" w:eastAsia="Times New Roman" w:hAnsi="Arial" w:cs="Arial"/>
          <w:sz w:val="24"/>
          <w:szCs w:val="24"/>
          <w:lang w:eastAsia="pt-BR"/>
        </w:rPr>
        <w:t xml:space="preserve"> serão transferidas aos FMS e aqueles referentes às demais regiões aos FES.</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lastRenderedPageBreak/>
        <w:t>COMPONENTE DE IMPLANTAÇÃO DE AÇÕES E SERVIÇOS DE SAÚDE</w:t>
      </w:r>
    </w:p>
    <w:tbl>
      <w:tblPr>
        <w:tblW w:w="14175" w:type="dxa"/>
        <w:tblInd w:w="68" w:type="dxa"/>
        <w:tblCellMar>
          <w:left w:w="0" w:type="dxa"/>
          <w:right w:w="0" w:type="dxa"/>
        </w:tblCellMar>
        <w:tblLook w:val="04A0"/>
      </w:tblPr>
      <w:tblGrid>
        <w:gridCol w:w="1738"/>
        <w:gridCol w:w="4859"/>
        <w:gridCol w:w="2160"/>
        <w:gridCol w:w="2699"/>
        <w:gridCol w:w="2719"/>
      </w:tblGrid>
      <w:tr w:rsidR="00FE4BCC" w:rsidRPr="004A3107" w:rsidTr="00FE4BCC">
        <w:trPr>
          <w:cantSplit/>
          <w:trHeight w:val="340"/>
        </w:trPr>
        <w:tc>
          <w:tcPr>
            <w:tcW w:w="613" w:type="pct"/>
            <w:tcBorders>
              <w:top w:val="single" w:sz="8" w:space="0" w:color="auto"/>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AREA</w:t>
            </w:r>
          </w:p>
        </w:tc>
        <w:tc>
          <w:tcPr>
            <w:tcW w:w="1714"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OBJETIVO</w:t>
            </w:r>
          </w:p>
        </w:tc>
        <w:tc>
          <w:tcPr>
            <w:tcW w:w="762"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VALOR DE CADA PARCELA</w:t>
            </w:r>
          </w:p>
        </w:tc>
        <w:tc>
          <w:tcPr>
            <w:tcW w:w="952"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CRITÉRIOS</w:t>
            </w:r>
          </w:p>
        </w:tc>
        <w:tc>
          <w:tcPr>
            <w:tcW w:w="959" w:type="pct"/>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PORTARIA EXISTENTE</w:t>
            </w:r>
          </w:p>
        </w:tc>
      </w:tr>
      <w:tr w:rsidR="00FE4BCC" w:rsidRPr="004A3107" w:rsidTr="00FE4BCC">
        <w:trPr>
          <w:cantSplit/>
          <w:trHeight w:val="340"/>
        </w:trPr>
        <w:tc>
          <w:tcPr>
            <w:tcW w:w="613" w:type="pct"/>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Incentivo à implantação e/ou qualificação de políticas especificas</w:t>
            </w: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de Centros de Atenção Psicossocial</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R$ 20.000,00 (CAPS 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R$ 30.000,00 (CAPS II e 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R$ 50.000,00 (CAPS III e  ad</w:t>
            </w:r>
            <w:proofErr w:type="gramStart"/>
            <w:r w:rsidRPr="004A3107">
              <w:rPr>
                <w:rFonts w:ascii="Arial" w:eastAsia="Times New Roman" w:hAnsi="Arial" w:cs="Arial"/>
                <w:sz w:val="24"/>
                <w:szCs w:val="24"/>
                <w:lang w:eastAsia="pt-BR"/>
              </w:rPr>
              <w:t xml:space="preserve"> )</w:t>
            </w:r>
            <w:proofErr w:type="gramEnd"/>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Epidemiológico Populacional</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245/05, de 18/02/2005</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1935/04, de 16/09/2004</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Qualificação de Centros de Atenção Psicossocial</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R$ 10.000,00 em </w:t>
            </w:r>
            <w:proofErr w:type="gramStart"/>
            <w:r w:rsidRPr="004A3107">
              <w:rPr>
                <w:rFonts w:ascii="Arial" w:eastAsia="Times New Roman" w:hAnsi="Arial" w:cs="Arial"/>
                <w:sz w:val="24"/>
                <w:szCs w:val="24"/>
                <w:lang w:eastAsia="pt-BR"/>
              </w:rPr>
              <w:t>3</w:t>
            </w:r>
            <w:proofErr w:type="gramEnd"/>
            <w:r w:rsidRPr="004A3107">
              <w:rPr>
                <w:rFonts w:ascii="Arial" w:eastAsia="Times New Roman" w:hAnsi="Arial" w:cs="Arial"/>
                <w:sz w:val="24"/>
                <w:szCs w:val="24"/>
                <w:lang w:eastAsia="pt-BR"/>
              </w:rPr>
              <w:t xml:space="preserve"> parcelas</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Projeto técnico do programa de qualificação dos CAPS</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 Portaria</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1.174/05, de 08/07/2005</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de Residências Terapêuticas em Saúde Mental</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R$ 10.000,00</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 Portaria</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246/05, de 18/02/2005</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Fomento para ações de redução de danos em CAPS ad</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R$ 50.000,00</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Existência de CAPS ad</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Região Metropolitana</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1.059/05, de 05/07/2005</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Inclusão social pelo trabalho para pessoas portadoras de transtornos mentais e outros transtornos decorrentes do uso de álcool e outras drogas</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R$ 5.000,00</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R$ 10.000,00</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R$ 15.000,00</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Existência de geração de renda em curso</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1.169/05, de 08/07/2005</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de Centros de Especialidades Odontológicas – CEO</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R$ 40.000,00 (CEO 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R$ 50.000,00 (CEO II)</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R$ 80.000,00 (CEO III)</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Epidemiológico populacional</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1572, de 29/07/2004</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283, de 22/02/2005</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599, de 23/03/2006</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600, de 23/03/2006</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do serviço de atendimento móvel de Urgência – SAMU</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R$ 50.000,00</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R$ 100.000,00</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as Portarias</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1863, de 29/09/2003</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1864, de 29/09/2003</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1828, de 2/09/2004</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Reestruturação dos Hospitais Colônias de Hanseníase</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Variável</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 Portaria</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585, de 06/04/2004</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Implantação de Centros de Saúde do Trabalhador</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R$ 50.000,00</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 Portaria</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2437, de 09/12/2005</w:t>
            </w:r>
          </w:p>
        </w:tc>
      </w:tr>
      <w:tr w:rsidR="00FE4BCC" w:rsidRPr="004A3107" w:rsidTr="00FE4BCC">
        <w:trPr>
          <w:cantSplit/>
          <w:trHeight w:val="34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1714"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Adesão à </w:t>
            </w:r>
            <w:proofErr w:type="spellStart"/>
            <w:r w:rsidRPr="004A3107">
              <w:rPr>
                <w:rFonts w:ascii="Arial" w:eastAsia="Times New Roman" w:hAnsi="Arial" w:cs="Arial"/>
                <w:sz w:val="24"/>
                <w:szCs w:val="24"/>
                <w:lang w:eastAsia="pt-BR"/>
              </w:rPr>
              <w:t>Contratualização</w:t>
            </w:r>
            <w:proofErr w:type="spellEnd"/>
            <w:r w:rsidRPr="004A3107">
              <w:rPr>
                <w:rFonts w:ascii="Arial" w:eastAsia="Times New Roman" w:hAnsi="Arial" w:cs="Arial"/>
                <w:sz w:val="24"/>
                <w:szCs w:val="24"/>
                <w:lang w:eastAsia="pt-BR"/>
              </w:rPr>
              <w:t xml:space="preserve"> dos Hospitais de Ensino</w:t>
            </w:r>
          </w:p>
        </w:tc>
        <w:tc>
          <w:tcPr>
            <w:tcW w:w="76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Variável</w:t>
            </w:r>
          </w:p>
        </w:tc>
        <w:tc>
          <w:tcPr>
            <w:tcW w:w="952"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De acordo com as Portarias</w:t>
            </w:r>
          </w:p>
        </w:tc>
        <w:tc>
          <w:tcPr>
            <w:tcW w:w="959" w:type="pct"/>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PT GM/MS nº 1702, de 17/08/2004</w:t>
            </w:r>
          </w:p>
          <w:p w:rsidR="00FE4BCC" w:rsidRPr="004A3107" w:rsidRDefault="00FE4BCC" w:rsidP="00FE4BCC">
            <w:pPr>
              <w:spacing w:after="0" w:line="240" w:lineRule="auto"/>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MEC/MS nº 1006, de 27/04/2004</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ANEXO III – CLASSIFICAÇÃO FUNCIONAL PROGRAMÁTICA</w:t>
      </w:r>
    </w:p>
    <w:tbl>
      <w:tblPr>
        <w:tblW w:w="14175" w:type="dxa"/>
        <w:tblInd w:w="68" w:type="dxa"/>
        <w:tblCellMar>
          <w:left w:w="0" w:type="dxa"/>
          <w:right w:w="0" w:type="dxa"/>
        </w:tblCellMar>
        <w:tblLook w:val="04A0"/>
      </w:tblPr>
      <w:tblGrid>
        <w:gridCol w:w="2997"/>
        <w:gridCol w:w="2163"/>
        <w:gridCol w:w="9015"/>
      </w:tblGrid>
      <w:tr w:rsidR="00FE4BCC" w:rsidRPr="004A3107" w:rsidTr="00FE4BCC">
        <w:trPr>
          <w:trHeight w:val="170"/>
        </w:trPr>
        <w:tc>
          <w:tcPr>
            <w:tcW w:w="2997" w:type="dxa"/>
            <w:tcBorders>
              <w:top w:val="single" w:sz="8" w:space="0" w:color="auto"/>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BLOCO DE FINANCIAMENTO</w:t>
            </w:r>
          </w:p>
        </w:tc>
        <w:tc>
          <w:tcPr>
            <w:tcW w:w="2163" w:type="dxa"/>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CLASSIFICAÇÃO FUNCIONAL PROGRAMÁTICA</w:t>
            </w:r>
          </w:p>
        </w:tc>
        <w:tc>
          <w:tcPr>
            <w:tcW w:w="9015" w:type="dxa"/>
            <w:tcBorders>
              <w:top w:val="single" w:sz="8" w:space="0" w:color="auto"/>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DESCRITOR</w:t>
            </w:r>
          </w:p>
        </w:tc>
      </w:tr>
      <w:tr w:rsidR="00FE4BCC" w:rsidRPr="004A3107" w:rsidTr="00FE4BCC">
        <w:trPr>
          <w:cantSplit/>
          <w:trHeight w:val="170"/>
        </w:trPr>
        <w:tc>
          <w:tcPr>
            <w:tcW w:w="2997" w:type="dxa"/>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ATENÇÃO BÁSICA</w:t>
            </w: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10.301.1214.8577</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Atendimento Assistencial básico nos Municípios Brasileiros</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10.301.1214.0589</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Incentivo Financeiro a Municípios Habilitados à Parte Variável do Piso da Atenção Básica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10.301.1214.6838</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Atenção à Saúde Bucal</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10.301.1214.8573</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Expansão e Consolidação da Saúde da Família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10.301.1312.6177</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Atenção à Saúde do Adolescente e Jovem</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10.302.1312.8527</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Serviço de atenção à saúde da população do Sistema Penitenciário Nacional</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10.128.1311.6199</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Formação de Profissionais Técnicos de Saúde</w:t>
            </w:r>
          </w:p>
        </w:tc>
      </w:tr>
      <w:tr w:rsidR="00FE4BCC" w:rsidRPr="004A3107" w:rsidTr="00FE4BCC">
        <w:trPr>
          <w:cantSplit/>
          <w:trHeight w:val="170"/>
        </w:trPr>
        <w:tc>
          <w:tcPr>
            <w:tcW w:w="2997" w:type="dxa"/>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MÉDIA E ALTA COMPLEXIDADE</w:t>
            </w: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10.302.1220.8585</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Atenção à saúde da população nos municípios habilitados em Gestão Plena do Sistema e nos estados habilitados em Gestão </w:t>
            </w:r>
            <w:proofErr w:type="gramStart"/>
            <w:r w:rsidRPr="004A3107">
              <w:rPr>
                <w:rFonts w:ascii="Arial" w:eastAsia="Times New Roman" w:hAnsi="Arial" w:cs="Arial"/>
                <w:sz w:val="24"/>
                <w:szCs w:val="24"/>
                <w:lang w:eastAsia="pt-BR"/>
              </w:rPr>
              <w:t>Plena/avançada</w:t>
            </w:r>
            <w:proofErr w:type="gramEnd"/>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10.301.1214.6838</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Atenção à Saúde Bucal</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10.301.1312.6188</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Atenção à Saúde do Trabalhador</w:t>
            </w:r>
          </w:p>
        </w:tc>
      </w:tr>
      <w:tr w:rsidR="00FE4BCC" w:rsidRPr="004A3107" w:rsidTr="00FE4BCC">
        <w:trPr>
          <w:cantSplit/>
          <w:trHeight w:val="170"/>
        </w:trPr>
        <w:tc>
          <w:tcPr>
            <w:tcW w:w="2997" w:type="dxa"/>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240" w:lineRule="auto"/>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VIGILANCIA EM SAÚDE</w:t>
            </w:r>
          </w:p>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Componente: Vigilância Epidemiológica e Ambiental em Saúde</w:t>
            </w: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10.305.1203.0829</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Incentivo Financeiro aos estados, municípios e Distrito Federal certificados para Vigilância em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10.305.1203.3994</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Modernização do Sistema de Vigilância em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10.302.1306.0214</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Incentivo Financeiro aos estados, municípios e Distrito Federal para Ações de Prevenção e Qualificação – HIV/</w:t>
            </w:r>
            <w:proofErr w:type="spellStart"/>
            <w:proofErr w:type="gramStart"/>
            <w:r w:rsidRPr="004A3107">
              <w:rPr>
                <w:rFonts w:ascii="Arial" w:eastAsia="Times New Roman" w:hAnsi="Arial" w:cs="Arial"/>
                <w:sz w:val="24"/>
                <w:szCs w:val="24"/>
                <w:lang w:eastAsia="pt-BR"/>
              </w:rPr>
              <w:t>Aids</w:t>
            </w:r>
            <w:proofErr w:type="spellEnd"/>
            <w:proofErr w:type="gramEnd"/>
          </w:p>
        </w:tc>
      </w:tr>
      <w:tr w:rsidR="00FE4BCC" w:rsidRPr="004A3107" w:rsidTr="00FE4BCC">
        <w:trPr>
          <w:cantSplit/>
          <w:trHeight w:val="170"/>
        </w:trPr>
        <w:tc>
          <w:tcPr>
            <w:tcW w:w="2997" w:type="dxa"/>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Componente: Vigilância Sanitária</w:t>
            </w: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10.304.1289.0990</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Incentivo Financeiro aos municípios e ao Distrito Federal habilitados à parte variável do Piso de Atenção Básica para ações de Vigilância Sanitária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10.304.1289.0852</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Incentivo Financeiro aos estados, Distrito Federal e municípios para execução de ações de médio e alto risco sanitário </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10.304.1289.6134</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Vigilância Sanitária em Serviços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10.304.1289.6133</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Vigilância Sanitária de Produtos</w:t>
            </w:r>
          </w:p>
        </w:tc>
      </w:tr>
      <w:tr w:rsidR="00FE4BCC" w:rsidRPr="004A3107" w:rsidTr="00FE4BCC">
        <w:trPr>
          <w:cantSplit/>
          <w:trHeight w:val="170"/>
        </w:trPr>
        <w:tc>
          <w:tcPr>
            <w:tcW w:w="2997" w:type="dxa"/>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ASSISTÊNCIA FARMACÊUTICA</w:t>
            </w: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10.303.1293.0593</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Incentivo Financeiro a municípios habilitados à parte variável do Piso de Atenção Básica – PAB para Assistência Farmacêutica Básica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10.303.1293.4368</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Promoção da oferta e da cobertura dos serviços de Assistência Farmacêutica e Insumos Estratégicos no Sistema Único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10.303.1293.4705</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Assistência financeira para aquisição e distribuição de medicamentos excepcionais</w:t>
            </w:r>
          </w:p>
        </w:tc>
      </w:tr>
      <w:tr w:rsidR="00FE4BCC" w:rsidRPr="004A3107" w:rsidTr="00FE4BCC">
        <w:trPr>
          <w:cantSplit/>
          <w:trHeight w:val="170"/>
        </w:trPr>
        <w:tc>
          <w:tcPr>
            <w:tcW w:w="2997" w:type="dxa"/>
            <w:vMerge w:val="restart"/>
            <w:tcBorders>
              <w:top w:val="nil"/>
              <w:left w:val="single" w:sz="8" w:space="0" w:color="auto"/>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GESTÃO DO SUS</w:t>
            </w: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10.303.1293.0804</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Apoio à estruturação dos serviços de assistência farmacêutica na rede pública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10.302.1220.6839</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Fomento ao Desenvolvimento da Gestão, Regulação, Controle e Avaliação da Atenção à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10.183.1300.6152</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Cartão Nacional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10.302.1312.8529</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Serviços extra-hospitalares de atenção aos portadores de transtornos mentais e decorrentes do uso de AD</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10.122.1311.6488</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Apoio às escolas técnicas de saúde, escolas de saúde pública, centros formadores e centros colaboradores </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10.122.1300.7666</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Investimento para humanização e ampliação do acesso a atenção à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10.571.1312.8525</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Fomento a estudos e pesquisa sobre a saúde de grupos populacionais estratégicos e em situações especiais de agravo</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10.302.1303.2821</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Cooperação Técnica para qualificação da atenção à saúde das pessoas em situações de violência e outras causas externas</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10.846.1311.0847</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Apoio à capacitação de formuladores de políticas em áreas específicas dos estados e municípios.</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10.128.1311.6199</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Formação de profissionais técnicos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10.122.1311.6196</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Serviço civil profissional em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10.364.1311.8541</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 xml:space="preserve">Formação de recursos humanos em educação profissional e de pós-graduação </w:t>
            </w:r>
            <w:proofErr w:type="spellStart"/>
            <w:r w:rsidRPr="004A3107">
              <w:rPr>
                <w:rFonts w:ascii="Arial" w:eastAsia="Times New Roman" w:hAnsi="Arial" w:cs="Arial"/>
                <w:sz w:val="24"/>
                <w:szCs w:val="24"/>
                <w:lang w:eastAsia="pt-BR"/>
              </w:rPr>
              <w:t>stricto</w:t>
            </w:r>
            <w:proofErr w:type="spellEnd"/>
            <w:r w:rsidRPr="004A3107">
              <w:rPr>
                <w:rFonts w:ascii="Arial" w:eastAsia="Times New Roman" w:hAnsi="Arial" w:cs="Arial"/>
                <w:sz w:val="24"/>
                <w:szCs w:val="24"/>
                <w:lang w:eastAsia="pt-BR"/>
              </w:rPr>
              <w:t xml:space="preserve"> e lato </w:t>
            </w:r>
            <w:proofErr w:type="spellStart"/>
            <w:r w:rsidRPr="004A3107">
              <w:rPr>
                <w:rFonts w:ascii="Arial" w:eastAsia="Times New Roman" w:hAnsi="Arial" w:cs="Arial"/>
                <w:sz w:val="24"/>
                <w:szCs w:val="24"/>
                <w:lang w:eastAsia="pt-BR"/>
              </w:rPr>
              <w:t>sensu</w:t>
            </w:r>
            <w:proofErr w:type="spellEnd"/>
            <w:r w:rsidRPr="004A3107">
              <w:rPr>
                <w:rFonts w:ascii="Arial" w:eastAsia="Times New Roman" w:hAnsi="Arial" w:cs="Arial"/>
                <w:sz w:val="24"/>
                <w:szCs w:val="24"/>
                <w:lang w:eastAsia="pt-BR"/>
              </w:rPr>
              <w:t>.</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10.122.0016.8287</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Qualificação da gestão descentralizada do Sistema Único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10.573.1311.6200</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Promoção dos princípios da Educação Popular em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10.122.1314.2272</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Gestão e Administração do Programa</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10.131.1314.6804</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Mobilização da sociedade para a Gestão Participativa no Sistema Único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10.131.1314.6806</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Controle Social no Sistema Único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10.422.1314.6182</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Ouvidoria Nacional de Saúde</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10.845.1311.0851</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Apoio à formação permanente de agentes para o Controle Social</w:t>
            </w:r>
          </w:p>
        </w:tc>
      </w:tr>
      <w:tr w:rsidR="00FE4BCC" w:rsidRPr="004A3107" w:rsidTr="00FE4BCC">
        <w:trPr>
          <w:cantSplit/>
          <w:trHeight w:val="170"/>
        </w:trPr>
        <w:tc>
          <w:tcPr>
            <w:tcW w:w="0" w:type="auto"/>
            <w:vMerge/>
            <w:tcBorders>
              <w:top w:val="nil"/>
              <w:left w:val="single" w:sz="8" w:space="0" w:color="auto"/>
              <w:bottom w:val="single" w:sz="8" w:space="0" w:color="auto"/>
              <w:right w:val="single" w:sz="8" w:space="0" w:color="auto"/>
            </w:tcBorders>
            <w:vAlign w:val="center"/>
            <w:hideMark/>
          </w:tcPr>
          <w:p w:rsidR="00FE4BCC" w:rsidRPr="004A3107" w:rsidRDefault="00FE4BCC" w:rsidP="00FE4BCC">
            <w:pPr>
              <w:spacing w:after="0" w:line="240" w:lineRule="auto"/>
              <w:rPr>
                <w:rFonts w:ascii="Arial" w:eastAsia="Times New Roman" w:hAnsi="Arial" w:cs="Arial"/>
                <w:sz w:val="24"/>
                <w:szCs w:val="24"/>
                <w:lang w:eastAsia="pt-BR"/>
              </w:rPr>
            </w:pPr>
          </w:p>
        </w:tc>
        <w:tc>
          <w:tcPr>
            <w:tcW w:w="2163"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jc w:val="center"/>
              <w:rPr>
                <w:rFonts w:ascii="Arial" w:eastAsia="Times New Roman" w:hAnsi="Arial" w:cs="Arial"/>
                <w:sz w:val="24"/>
                <w:szCs w:val="24"/>
                <w:lang w:eastAsia="pt-BR"/>
              </w:rPr>
            </w:pPr>
            <w:r w:rsidRPr="004A3107">
              <w:rPr>
                <w:rFonts w:ascii="Arial" w:eastAsia="Times New Roman" w:hAnsi="Arial" w:cs="Arial"/>
                <w:sz w:val="24"/>
                <w:szCs w:val="24"/>
                <w:lang w:eastAsia="pt-BR"/>
              </w:rPr>
              <w:t>10.125.1220.8537</w:t>
            </w:r>
          </w:p>
        </w:tc>
        <w:tc>
          <w:tcPr>
            <w:tcW w:w="9015" w:type="dxa"/>
            <w:tcBorders>
              <w:top w:val="nil"/>
              <w:left w:val="nil"/>
              <w:bottom w:val="single" w:sz="8" w:space="0" w:color="auto"/>
              <w:right w:val="single" w:sz="8" w:space="0" w:color="auto"/>
            </w:tcBorders>
            <w:tcMar>
              <w:top w:w="28" w:type="dxa"/>
              <w:left w:w="0" w:type="dxa"/>
              <w:bottom w:w="28" w:type="dxa"/>
              <w:right w:w="0" w:type="dxa"/>
            </w:tcMar>
            <w:vAlign w:val="center"/>
            <w:hideMark/>
          </w:tcPr>
          <w:p w:rsidR="00FE4BCC" w:rsidRPr="004A3107" w:rsidRDefault="00FE4BCC" w:rsidP="00FE4BCC">
            <w:pPr>
              <w:spacing w:after="0" w:line="170" w:lineRule="atLeast"/>
              <w:ind w:left="23" w:right="23"/>
              <w:rPr>
                <w:rFonts w:ascii="Arial" w:eastAsia="Times New Roman" w:hAnsi="Arial" w:cs="Arial"/>
                <w:sz w:val="24"/>
                <w:szCs w:val="24"/>
                <w:lang w:eastAsia="pt-BR"/>
              </w:rPr>
            </w:pPr>
            <w:r w:rsidRPr="004A3107">
              <w:rPr>
                <w:rFonts w:ascii="Arial" w:eastAsia="Times New Roman" w:hAnsi="Arial" w:cs="Arial"/>
                <w:sz w:val="24"/>
                <w:szCs w:val="24"/>
                <w:lang w:eastAsia="pt-BR"/>
              </w:rPr>
              <w:t>Sistemas estaduais, municipais e do Distrito Federal de Auditoria</w:t>
            </w:r>
          </w:p>
        </w:tc>
      </w:tr>
    </w:tbl>
    <w:p w:rsidR="00FE4BCC" w:rsidRPr="004A3107" w:rsidRDefault="00FE4BCC" w:rsidP="00FE4BCC">
      <w:pPr>
        <w:spacing w:after="0" w:line="240" w:lineRule="auto"/>
        <w:rPr>
          <w:rFonts w:ascii="Arial" w:eastAsia="Times New Roman" w:hAnsi="Arial" w:cs="Arial"/>
          <w:sz w:val="24"/>
          <w:szCs w:val="24"/>
          <w:lang w:eastAsia="pt-BR"/>
        </w:rPr>
      </w:pPr>
      <w:r w:rsidRPr="004A3107">
        <w:rPr>
          <w:rFonts w:ascii="Arial" w:eastAsia="Times New Roman" w:hAnsi="Arial" w:cs="Arial"/>
          <w:sz w:val="24"/>
          <w:szCs w:val="24"/>
          <w:lang w:eastAsia="pt-BR"/>
        </w:rPr>
        <w:t> </w:t>
      </w:r>
    </w:p>
    <w:p w:rsidR="004224B4" w:rsidRPr="004A3107" w:rsidRDefault="004224B4">
      <w:pPr>
        <w:rPr>
          <w:rFonts w:ascii="Arial" w:hAnsi="Arial" w:cs="Arial"/>
          <w:sz w:val="24"/>
          <w:szCs w:val="24"/>
        </w:rPr>
      </w:pPr>
    </w:p>
    <w:sectPr w:rsidR="004224B4" w:rsidRPr="004A3107" w:rsidSect="00FE4BCC">
      <w:pgSz w:w="16838" w:h="11906" w:orient="landscape"/>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compat/>
  <w:rsids>
    <w:rsidRoot w:val="00FE4BCC"/>
    <w:rsid w:val="000079B0"/>
    <w:rsid w:val="002524BD"/>
    <w:rsid w:val="004224B4"/>
    <w:rsid w:val="004A3107"/>
    <w:rsid w:val="00880993"/>
    <w:rsid w:val="00B5406C"/>
    <w:rsid w:val="00EF1BBC"/>
    <w:rsid w:val="00FE4BCC"/>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24B4"/>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unhideWhenUsed/>
    <w:rsid w:val="00FE4BCC"/>
    <w:pPr>
      <w:spacing w:after="0" w:line="240" w:lineRule="auto"/>
    </w:pPr>
    <w:rPr>
      <w:rFonts w:ascii="Tahoma" w:eastAsia="Times New Roman" w:hAnsi="Tahoma" w:cs="Tahoma"/>
      <w:sz w:val="16"/>
      <w:szCs w:val="16"/>
      <w:lang w:eastAsia="pt-BR"/>
    </w:rPr>
  </w:style>
  <w:style w:type="character" w:customStyle="1" w:styleId="TextodebaloChar">
    <w:name w:val="Texto de balão Char"/>
    <w:basedOn w:val="Fontepargpadro"/>
    <w:link w:val="Textodebalo"/>
    <w:uiPriority w:val="99"/>
    <w:rsid w:val="00FE4BCC"/>
    <w:rPr>
      <w:rFonts w:ascii="Tahoma" w:eastAsia="Times New Roman" w:hAnsi="Tahoma" w:cs="Tahoma"/>
      <w:sz w:val="16"/>
      <w:szCs w:val="16"/>
      <w:lang w:eastAsia="pt-BR"/>
    </w:rPr>
  </w:style>
</w:styles>
</file>

<file path=word/webSettings.xml><?xml version="1.0" encoding="utf-8"?>
<w:webSettings xmlns:r="http://schemas.openxmlformats.org/officeDocument/2006/relationships" xmlns:w="http://schemas.openxmlformats.org/wordprocessingml/2006/main">
  <w:divs>
    <w:div w:id="529104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26</Pages>
  <Words>6768</Words>
  <Characters>36550</Characters>
  <Application>Microsoft Office Word</Application>
  <DocSecurity>0</DocSecurity>
  <Lines>304</Lines>
  <Paragraphs>86</Paragraphs>
  <ScaleCrop>false</ScaleCrop>
  <Company/>
  <LinksUpToDate>false</LinksUpToDate>
  <CharactersWithSpaces>43232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DENISE.BUENO</dc:creator>
  <cp:lastModifiedBy>DENISE.BUENO</cp:lastModifiedBy>
  <cp:revision>2</cp:revision>
  <cp:lastPrinted>2012-09-11T13:51:00Z</cp:lastPrinted>
  <dcterms:created xsi:type="dcterms:W3CDTF">2012-04-20T19:26:00Z</dcterms:created>
  <dcterms:modified xsi:type="dcterms:W3CDTF">2012-09-11T13:51:00Z</dcterms:modified>
</cp:coreProperties>
</file>