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09CC" w:rsidRPr="00C807E1" w:rsidRDefault="005809CC" w:rsidP="003615CD">
      <w:pPr>
        <w:pStyle w:val="BodyTextIndent"/>
        <w:spacing w:after="120" w:line="360" w:lineRule="auto"/>
        <w:ind w:left="0"/>
        <w:rPr>
          <w:szCs w:val="28"/>
        </w:rPr>
      </w:pPr>
      <w:r w:rsidRPr="00C807E1">
        <w:rPr>
          <w:szCs w:val="28"/>
        </w:rPr>
        <w:t>REGIMENTO INTERNO DO COMITÊ REGIONAL DE PREVENÇÃO DOS ÓBITOS MATERNO, INFANTIL E FETAL/SANTA CATARINA</w:t>
      </w:r>
    </w:p>
    <w:p w:rsidR="005809CC" w:rsidRPr="00C807E1" w:rsidRDefault="005809CC" w:rsidP="00C807E1">
      <w:pPr>
        <w:spacing w:after="200" w:line="360" w:lineRule="auto"/>
        <w:rPr>
          <w:rFonts w:ascii="Arial" w:hAnsi="Arial" w:cs="Arial"/>
          <w:lang w:val="pt-BR" w:eastAsia="pt-BR"/>
        </w:rPr>
      </w:pPr>
    </w:p>
    <w:p w:rsidR="005809CC" w:rsidRPr="00C807E1" w:rsidRDefault="005809CC" w:rsidP="00C807E1">
      <w:pPr>
        <w:spacing w:after="200" w:line="360" w:lineRule="auto"/>
        <w:rPr>
          <w:rFonts w:ascii="Arial" w:hAnsi="Arial" w:cs="Arial"/>
          <w:lang w:val="pt-BR" w:eastAsia="pt-BR"/>
        </w:rPr>
      </w:pPr>
    </w:p>
    <w:p w:rsidR="005809CC" w:rsidRPr="00C807E1" w:rsidRDefault="005809CC" w:rsidP="00C807E1">
      <w:pPr>
        <w:pStyle w:val="Heading5"/>
        <w:keepLines w:val="0"/>
        <w:spacing w:before="0" w:line="360" w:lineRule="auto"/>
        <w:jc w:val="center"/>
        <w:rPr>
          <w:rFonts w:ascii="Arial" w:hAnsi="Arial" w:cs="Arial"/>
          <w:bCs/>
          <w:color w:val="auto"/>
          <w:lang w:val="pt-BR" w:eastAsia="pt-BR"/>
        </w:rPr>
      </w:pPr>
      <w:r w:rsidRPr="00C807E1">
        <w:rPr>
          <w:rFonts w:ascii="Arial" w:hAnsi="Arial" w:cs="Arial"/>
          <w:bCs/>
          <w:color w:val="auto"/>
          <w:lang w:val="pt-BR" w:eastAsia="pt-BR"/>
        </w:rPr>
        <w:t>TÍTULO I</w:t>
      </w:r>
    </w:p>
    <w:p w:rsidR="005809CC" w:rsidRPr="00C807E1" w:rsidRDefault="005809CC" w:rsidP="00C807E1">
      <w:pPr>
        <w:pStyle w:val="Heading5"/>
        <w:keepLines w:val="0"/>
        <w:spacing w:before="0" w:line="360" w:lineRule="auto"/>
        <w:jc w:val="center"/>
        <w:rPr>
          <w:rFonts w:ascii="Arial" w:hAnsi="Arial" w:cs="Arial"/>
          <w:bCs/>
          <w:color w:val="auto"/>
          <w:lang w:val="pt-BR" w:eastAsia="pt-BR"/>
        </w:rPr>
      </w:pPr>
      <w:r w:rsidRPr="00C807E1">
        <w:rPr>
          <w:rFonts w:ascii="Arial" w:hAnsi="Arial" w:cs="Arial"/>
          <w:bCs/>
          <w:color w:val="auto"/>
          <w:lang w:val="pt-BR" w:eastAsia="pt-BR"/>
        </w:rPr>
        <w:t>DA CARACTERIZAÇÃO E DOS OBJETIVOS</w:t>
      </w:r>
    </w:p>
    <w:p w:rsidR="005809CC" w:rsidRPr="00C807E1" w:rsidRDefault="005809CC" w:rsidP="00C807E1">
      <w:pPr>
        <w:spacing w:after="200" w:line="360" w:lineRule="auto"/>
        <w:rPr>
          <w:rFonts w:ascii="Arial" w:hAnsi="Arial" w:cs="Arial"/>
          <w:lang w:val="pt-BR" w:eastAsia="pt-BR"/>
        </w:rPr>
      </w:pPr>
    </w:p>
    <w:p w:rsidR="005809CC" w:rsidRPr="00C807E1" w:rsidRDefault="005809CC" w:rsidP="003615CD">
      <w:pPr>
        <w:pStyle w:val="BodyText2"/>
        <w:spacing w:after="120" w:line="360" w:lineRule="auto"/>
        <w:ind w:right="0" w:firstLine="567"/>
        <w:jc w:val="both"/>
        <w:rPr>
          <w:szCs w:val="24"/>
          <w:lang w:eastAsia="en-US"/>
        </w:rPr>
      </w:pPr>
      <w:r w:rsidRPr="00C807E1">
        <w:rPr>
          <w:bCs/>
          <w:szCs w:val="24"/>
          <w:lang w:eastAsia="es-ES_tradnl"/>
        </w:rPr>
        <w:t>Art.</w:t>
      </w:r>
      <w:r w:rsidRPr="00C807E1">
        <w:rPr>
          <w:bCs/>
          <w:szCs w:val="24"/>
        </w:rPr>
        <w:t xml:space="preserve"> 1º</w:t>
      </w:r>
      <w:r w:rsidRPr="00C807E1">
        <w:rPr>
          <w:szCs w:val="24"/>
        </w:rPr>
        <w:t xml:space="preserve">  </w:t>
      </w:r>
      <w:r w:rsidRPr="00C807E1">
        <w:rPr>
          <w:szCs w:val="24"/>
          <w:lang w:eastAsia="en-US"/>
        </w:rPr>
        <w:t xml:space="preserve">O Comitê Regional de Prevenção dos Óbitos Materno, Infantil e Fetal (CR), com vinculação técnica ao Comitê Estadual de Prevenção dos Óbitos Materno, Infantil e Fetal (CEPOMIF), foi instituído por meio da </w:t>
      </w:r>
      <w:r w:rsidRPr="00315222">
        <w:rPr>
          <w:szCs w:val="24"/>
          <w:lang w:eastAsia="en-US"/>
        </w:rPr>
        <w:t>Portaria nº 785 de 13 de novembro de 2013, publicada no Diário Oficial do Estado, n°</w:t>
      </w:r>
      <w:r>
        <w:rPr>
          <w:szCs w:val="24"/>
          <w:lang w:eastAsia="en-US"/>
        </w:rPr>
        <w:t xml:space="preserve"> </w:t>
      </w:r>
      <w:r w:rsidRPr="00315222">
        <w:rPr>
          <w:szCs w:val="24"/>
        </w:rPr>
        <w:t>1</w:t>
      </w:r>
      <w:r>
        <w:rPr>
          <w:szCs w:val="24"/>
        </w:rPr>
        <w:t>9.709</w:t>
      </w:r>
      <w:r w:rsidRPr="00887B10">
        <w:rPr>
          <w:szCs w:val="24"/>
        </w:rPr>
        <w:t xml:space="preserve">, de </w:t>
      </w:r>
      <w:r>
        <w:rPr>
          <w:szCs w:val="24"/>
        </w:rPr>
        <w:t>25 de novembro de 2013</w:t>
      </w:r>
      <w:r w:rsidRPr="00C807E1">
        <w:rPr>
          <w:szCs w:val="24"/>
          <w:lang w:eastAsia="en-US"/>
        </w:rPr>
        <w:t>.</w:t>
      </w:r>
    </w:p>
    <w:p w:rsidR="005809CC" w:rsidRPr="00C807E1" w:rsidRDefault="005809CC" w:rsidP="007B1135">
      <w:pPr>
        <w:spacing w:after="120" w:line="360" w:lineRule="auto"/>
        <w:ind w:firstLine="567"/>
        <w:jc w:val="both"/>
        <w:rPr>
          <w:rFonts w:ascii="Arial" w:hAnsi="Arial" w:cs="Arial"/>
          <w:lang w:val="pt-BR" w:eastAsia="en-US"/>
        </w:rPr>
      </w:pPr>
      <w:r w:rsidRPr="00C807E1">
        <w:rPr>
          <w:rFonts w:ascii="Arial" w:hAnsi="Arial" w:cs="Arial"/>
          <w:bCs/>
          <w:lang w:val="pt-BR"/>
        </w:rPr>
        <w:t>Art. 2°</w:t>
      </w:r>
      <w:r w:rsidRPr="00C807E1">
        <w:rPr>
          <w:rFonts w:ascii="Arial" w:hAnsi="Arial" w:cs="Arial"/>
          <w:lang w:val="pt-BR"/>
        </w:rPr>
        <w:t xml:space="preserve">  </w:t>
      </w:r>
      <w:r w:rsidRPr="00C807E1">
        <w:rPr>
          <w:rFonts w:ascii="Arial" w:hAnsi="Arial" w:cs="Arial"/>
          <w:lang w:val="pt-BR" w:eastAsia="en-US"/>
        </w:rPr>
        <w:t>O Comitê Regional terá a incumbência de analisar e sistematizar as informações resultantes da Investigação Epidemiológica dos Óbitos Materno, Infantil e Fetal realizada pelos Municípios, com a finalidade educativa de aprimorar a qualidade das informações e o acompanhamento de políticas públicas nos Municípios do contexto regional.</w:t>
      </w:r>
    </w:p>
    <w:p w:rsidR="005809CC" w:rsidRPr="00C807E1" w:rsidRDefault="005809CC" w:rsidP="00C807E1">
      <w:pPr>
        <w:spacing w:after="200" w:line="360" w:lineRule="auto"/>
        <w:rPr>
          <w:rFonts w:ascii="Arial" w:hAnsi="Arial" w:cs="Arial"/>
          <w:lang w:val="pt-BR" w:eastAsia="pt-BR"/>
        </w:rPr>
      </w:pPr>
    </w:p>
    <w:p w:rsidR="005809CC" w:rsidRPr="00C807E1" w:rsidRDefault="005809CC" w:rsidP="00C807E1">
      <w:pPr>
        <w:spacing w:after="200" w:line="360" w:lineRule="auto"/>
        <w:rPr>
          <w:rFonts w:ascii="Arial" w:hAnsi="Arial" w:cs="Arial"/>
          <w:lang w:val="pt-BR" w:eastAsia="pt-BR"/>
        </w:rPr>
      </w:pPr>
    </w:p>
    <w:p w:rsidR="005809CC" w:rsidRPr="00C807E1" w:rsidRDefault="005809CC" w:rsidP="00C807E1">
      <w:pPr>
        <w:pStyle w:val="Heading5"/>
        <w:keepLines w:val="0"/>
        <w:spacing w:before="0" w:line="360" w:lineRule="auto"/>
        <w:jc w:val="center"/>
        <w:rPr>
          <w:rFonts w:ascii="Arial" w:hAnsi="Arial" w:cs="Arial"/>
          <w:bCs/>
          <w:color w:val="auto"/>
          <w:lang w:val="pt-BR" w:eastAsia="pt-BR"/>
        </w:rPr>
      </w:pPr>
      <w:r w:rsidRPr="00C807E1">
        <w:rPr>
          <w:rFonts w:ascii="Arial" w:hAnsi="Arial" w:cs="Arial"/>
          <w:bCs/>
          <w:color w:val="auto"/>
          <w:lang w:val="pt-BR" w:eastAsia="pt-BR"/>
        </w:rPr>
        <w:t>TÍTULO II</w:t>
      </w:r>
    </w:p>
    <w:p w:rsidR="005809CC" w:rsidRPr="00C807E1" w:rsidRDefault="005809CC" w:rsidP="00C807E1">
      <w:pPr>
        <w:pStyle w:val="Heading5"/>
        <w:keepLines w:val="0"/>
        <w:spacing w:before="0" w:line="360" w:lineRule="auto"/>
        <w:jc w:val="center"/>
        <w:rPr>
          <w:rFonts w:ascii="Arial" w:hAnsi="Arial" w:cs="Arial"/>
          <w:bCs/>
          <w:color w:val="auto"/>
          <w:lang w:val="pt-BR" w:eastAsia="pt-BR"/>
        </w:rPr>
      </w:pPr>
      <w:r w:rsidRPr="00C807E1">
        <w:rPr>
          <w:rFonts w:ascii="Arial" w:hAnsi="Arial" w:cs="Arial"/>
          <w:bCs/>
          <w:color w:val="auto"/>
          <w:lang w:val="pt-BR" w:eastAsia="pt-BR"/>
        </w:rPr>
        <w:t>DAS FINALIDADES</w:t>
      </w:r>
    </w:p>
    <w:p w:rsidR="005809CC" w:rsidRPr="00C807E1" w:rsidRDefault="005809CC" w:rsidP="00C807E1">
      <w:pPr>
        <w:spacing w:after="200" w:line="360" w:lineRule="auto"/>
        <w:rPr>
          <w:rFonts w:ascii="Arial" w:hAnsi="Arial" w:cs="Arial"/>
          <w:lang w:val="pt-BR" w:eastAsia="pt-BR"/>
        </w:rPr>
      </w:pPr>
    </w:p>
    <w:p w:rsidR="005809CC" w:rsidRPr="00C807E1" w:rsidRDefault="005809CC" w:rsidP="008A785E">
      <w:pPr>
        <w:spacing w:after="120" w:line="360" w:lineRule="auto"/>
        <w:ind w:firstLine="567"/>
        <w:jc w:val="both"/>
        <w:rPr>
          <w:rFonts w:ascii="Arial" w:hAnsi="Arial" w:cs="Arial"/>
          <w:lang w:val="pt-BR"/>
        </w:rPr>
      </w:pPr>
      <w:r w:rsidRPr="00C807E1">
        <w:rPr>
          <w:rFonts w:ascii="Arial" w:hAnsi="Arial" w:cs="Arial"/>
          <w:bCs/>
          <w:lang w:val="pt-BR"/>
        </w:rPr>
        <w:t>Art. 3°</w:t>
      </w:r>
      <w:r w:rsidRPr="00C807E1">
        <w:rPr>
          <w:rFonts w:ascii="Arial" w:hAnsi="Arial" w:cs="Arial"/>
          <w:lang w:val="pt-BR"/>
        </w:rPr>
        <w:t xml:space="preserve">  </w:t>
      </w:r>
      <w:r w:rsidRPr="00C807E1">
        <w:rPr>
          <w:rFonts w:ascii="Arial" w:hAnsi="Arial" w:cs="Arial"/>
          <w:color w:val="000000"/>
          <w:lang w:val="pt-BR" w:eastAsia="en-US"/>
        </w:rPr>
        <w:t xml:space="preserve">O </w:t>
      </w:r>
      <w:r w:rsidRPr="00C807E1">
        <w:rPr>
          <w:rFonts w:ascii="Arial" w:hAnsi="Arial" w:cs="Arial"/>
          <w:lang w:val="pt-BR" w:eastAsia="en-US"/>
        </w:rPr>
        <w:t>Comitê Regional de Prevenção dos Óbitos Materno, Infantil e Fetal (CR)</w:t>
      </w:r>
      <w:r w:rsidRPr="00C807E1">
        <w:rPr>
          <w:rFonts w:ascii="Arial" w:hAnsi="Arial" w:cs="Arial"/>
          <w:color w:val="000000"/>
          <w:lang w:val="pt-BR" w:eastAsia="en-US"/>
        </w:rPr>
        <w:t xml:space="preserve"> terá caráter técnico-consultivo, e a ele estarão delegadas as seguintes atribuições</w:t>
      </w:r>
      <w:r w:rsidRPr="00C807E1">
        <w:rPr>
          <w:rFonts w:ascii="Arial" w:hAnsi="Arial" w:cs="Arial"/>
          <w:lang w:val="pt-BR"/>
        </w:rPr>
        <w:t>:</w:t>
      </w:r>
    </w:p>
    <w:p w:rsidR="005809CC" w:rsidRPr="00C807E1" w:rsidRDefault="005809CC" w:rsidP="008A785E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I - acompanhar as ações de Vigilância Epidemiológica dos Óbitos Materno, Infantil e Fetal realizada pelos Municípios;</w:t>
      </w:r>
    </w:p>
    <w:p w:rsidR="005809CC" w:rsidRPr="00C807E1" w:rsidRDefault="005809CC" w:rsidP="008A785E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II - apoiar os Municípios, de modo complementar, no processo da Investigação Epidemiológica dos Óbitos Materno, Infantil e Fetal;</w:t>
      </w:r>
    </w:p>
    <w:p w:rsidR="005809CC" w:rsidRPr="00C807E1" w:rsidRDefault="005809CC" w:rsidP="008A785E">
      <w:pPr>
        <w:pStyle w:val="Header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III - identificar os principais determinantes dos Óbitos Materno, Infantil e Fetal no contexto dos Municípios, e o que prevalece na Região;</w:t>
      </w:r>
    </w:p>
    <w:p w:rsidR="005809CC" w:rsidRPr="00C807E1" w:rsidRDefault="005809CC" w:rsidP="008A785E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szCs w:val="24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IV - manter informada a Coordenação do CEPOMIF sobre a Vigilância Epidemiológica dos Óbitos Materno, Infantil e Fetal e sobre as demais deliberações do Comitê Regional;</w:t>
      </w:r>
    </w:p>
    <w:p w:rsidR="005809CC" w:rsidRPr="00C807E1" w:rsidRDefault="005809CC" w:rsidP="008A785E">
      <w:pPr>
        <w:pStyle w:val="Header"/>
        <w:autoSpaceDE w:val="0"/>
        <w:autoSpaceDN w:val="0"/>
        <w:adjustRightInd w:val="0"/>
        <w:spacing w:after="120" w:line="360" w:lineRule="auto"/>
        <w:ind w:left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V - responder às diligências do CEPOMIF, quando solicitado;</w:t>
      </w:r>
    </w:p>
    <w:p w:rsidR="005809CC" w:rsidRPr="00C807E1" w:rsidRDefault="005809CC" w:rsidP="008A785E">
      <w:pPr>
        <w:pStyle w:val="Header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 xml:space="preserve">VI - sistematizar e analisar os dados resultantes da Vigilância Epidemiológica dos Óbitos Materno, Infantil e Fetal realizada pelos Municípios, preservando a confidencialidade dos dados obtidos, observada a legislação; </w:t>
      </w:r>
    </w:p>
    <w:p w:rsidR="005809CC" w:rsidRPr="00C807E1" w:rsidRDefault="005809CC" w:rsidP="008A785E">
      <w:pPr>
        <w:pStyle w:val="Header"/>
        <w:spacing w:after="120" w:line="360" w:lineRule="auto"/>
        <w:ind w:firstLine="567"/>
        <w:jc w:val="both"/>
        <w:rPr>
          <w:rFonts w:ascii="Arial" w:hAnsi="Arial" w:cs="Arial"/>
          <w:szCs w:val="24"/>
          <w:lang w:eastAsia="en-US"/>
        </w:rPr>
      </w:pPr>
      <w:r w:rsidRPr="00C807E1">
        <w:rPr>
          <w:rFonts w:ascii="Arial" w:hAnsi="Arial" w:cs="Arial"/>
          <w:szCs w:val="24"/>
          <w:lang w:eastAsia="en-US"/>
        </w:rPr>
        <w:t xml:space="preserve">VII </w:t>
      </w:r>
      <w:r>
        <w:rPr>
          <w:rFonts w:ascii="Arial" w:hAnsi="Arial" w:cs="Arial"/>
          <w:szCs w:val="24"/>
          <w:lang w:eastAsia="en-US"/>
        </w:rPr>
        <w:t>-</w:t>
      </w:r>
      <w:r w:rsidRPr="00C807E1">
        <w:rPr>
          <w:rFonts w:ascii="Arial" w:hAnsi="Arial" w:cs="Arial"/>
          <w:szCs w:val="24"/>
          <w:lang w:eastAsia="en-US"/>
        </w:rPr>
        <w:t xml:space="preserve"> apresentar aos Municípios, trimestralmente, as informações decorrentes da análise dos dados resultantes da investigação epidemiológica dos óbitos materno, infantil e fetal, de modo a melhorar as estatísticas locais, desenvolver ações educativas e adequar os investimentos municipais às necessidades dos munícipes;</w:t>
      </w:r>
    </w:p>
    <w:p w:rsidR="005809CC" w:rsidRPr="00C807E1" w:rsidRDefault="005809CC" w:rsidP="008A785E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VIII - produzir relatório anual sobre a Vigilância Epidemiológica dos Óbitos Materno, Infantil e Fetal, com propostas de ações para redução das mortalidades materna, infantil e fetal no contexto regional, enviando-o ao CEPOMIF para inserção no relatório do Estado.</w:t>
      </w:r>
    </w:p>
    <w:p w:rsidR="005809CC" w:rsidRPr="00C807E1" w:rsidRDefault="005809CC" w:rsidP="00C807E1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Parágrafo primeiro.  É de responsabilidade dos Municípios de ocorrência do óbito</w:t>
      </w:r>
      <w:r>
        <w:rPr>
          <w:rFonts w:ascii="Arial" w:hAnsi="Arial" w:cs="Arial"/>
          <w:color w:val="000000"/>
          <w:szCs w:val="24"/>
          <w:lang w:eastAsia="en-US"/>
        </w:rPr>
        <w:t xml:space="preserve">, </w:t>
      </w:r>
      <w:r w:rsidRPr="00C807E1">
        <w:rPr>
          <w:rFonts w:ascii="Arial" w:hAnsi="Arial" w:cs="Arial"/>
          <w:color w:val="000000"/>
          <w:lang w:eastAsia="en-US"/>
        </w:rPr>
        <w:t>a coleta de dados, inclusive nos hospitais e maternidades, em articulação com os Núcleos de Vigilância Hospitalar, Vigilância Epidemiológica do Município de ocorrência e de outro</w:t>
      </w:r>
      <w:r>
        <w:rPr>
          <w:rFonts w:ascii="Arial" w:hAnsi="Arial" w:cs="Arial"/>
          <w:color w:val="000000"/>
          <w:lang w:eastAsia="en-US"/>
        </w:rPr>
        <w:t>s Comitês Regionais e Estaduais.</w:t>
      </w:r>
    </w:p>
    <w:p w:rsidR="005809CC" w:rsidRPr="00C807E1" w:rsidRDefault="005809CC" w:rsidP="00C807E1">
      <w:pPr>
        <w:spacing w:after="200" w:line="360" w:lineRule="auto"/>
        <w:rPr>
          <w:rFonts w:ascii="Arial" w:hAnsi="Arial" w:cs="Arial"/>
          <w:lang w:val="pt-BR" w:eastAsia="pt-BR"/>
        </w:rPr>
      </w:pPr>
    </w:p>
    <w:p w:rsidR="005809CC" w:rsidRPr="00C807E1" w:rsidRDefault="005809CC" w:rsidP="00C807E1">
      <w:pPr>
        <w:spacing w:after="200" w:line="360" w:lineRule="auto"/>
        <w:rPr>
          <w:rFonts w:ascii="Arial" w:hAnsi="Arial" w:cs="Arial"/>
          <w:lang w:val="pt-BR" w:eastAsia="pt-BR"/>
        </w:rPr>
      </w:pPr>
    </w:p>
    <w:p w:rsidR="005809CC" w:rsidRPr="00C807E1" w:rsidRDefault="005809CC" w:rsidP="00C807E1">
      <w:pPr>
        <w:pStyle w:val="Heading5"/>
        <w:keepLines w:val="0"/>
        <w:spacing w:before="0" w:line="360" w:lineRule="auto"/>
        <w:jc w:val="center"/>
        <w:rPr>
          <w:rFonts w:ascii="Arial" w:hAnsi="Arial" w:cs="Arial"/>
          <w:bCs/>
          <w:color w:val="auto"/>
          <w:lang w:val="pt-BR" w:eastAsia="pt-BR"/>
        </w:rPr>
      </w:pPr>
      <w:r w:rsidRPr="00C807E1">
        <w:rPr>
          <w:rFonts w:ascii="Arial" w:hAnsi="Arial" w:cs="Arial"/>
          <w:bCs/>
          <w:color w:val="auto"/>
          <w:lang w:val="pt-BR" w:eastAsia="pt-BR"/>
        </w:rPr>
        <w:t>TÍTULO III</w:t>
      </w:r>
    </w:p>
    <w:p w:rsidR="005809CC" w:rsidRPr="00C807E1" w:rsidRDefault="005809CC" w:rsidP="00C807E1">
      <w:pPr>
        <w:pStyle w:val="Heading5"/>
        <w:keepLines w:val="0"/>
        <w:spacing w:before="0" w:line="360" w:lineRule="auto"/>
        <w:jc w:val="center"/>
        <w:rPr>
          <w:rFonts w:ascii="Arial" w:hAnsi="Arial" w:cs="Arial"/>
          <w:bCs/>
          <w:color w:val="auto"/>
          <w:lang w:val="pt-BR" w:eastAsia="pt-BR"/>
        </w:rPr>
      </w:pPr>
      <w:r w:rsidRPr="00C807E1">
        <w:rPr>
          <w:rFonts w:ascii="Arial" w:hAnsi="Arial" w:cs="Arial"/>
          <w:bCs/>
          <w:color w:val="auto"/>
          <w:lang w:val="pt-BR" w:eastAsia="pt-BR"/>
        </w:rPr>
        <w:t>DA COMPOSIÇÃO E PARTICIPAÇÃO</w:t>
      </w:r>
    </w:p>
    <w:p w:rsidR="005809CC" w:rsidRPr="00C807E1" w:rsidRDefault="005809CC" w:rsidP="00C807E1">
      <w:pPr>
        <w:spacing w:after="200" w:line="360" w:lineRule="auto"/>
        <w:rPr>
          <w:rFonts w:ascii="Arial" w:hAnsi="Arial" w:cs="Arial"/>
          <w:lang w:val="pt-BR" w:eastAsia="pt-BR"/>
        </w:rPr>
      </w:pPr>
    </w:p>
    <w:p w:rsidR="005809CC" w:rsidRPr="00C807E1" w:rsidRDefault="005809CC" w:rsidP="007A0151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bCs/>
          <w:szCs w:val="24"/>
          <w:lang w:eastAsia="es-ES_tradnl"/>
        </w:rPr>
        <w:t>Art. 4º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 O Comitê Regional terá composição multiprofissional e interinstitucional, com um representante efetivo e respectivo suplente das seguintes instituições, respeitadas as peculiaridades de cada Região:</w:t>
      </w:r>
    </w:p>
    <w:p w:rsidR="005809CC" w:rsidRPr="00C807E1" w:rsidRDefault="005809CC" w:rsidP="00BD2DE2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I - Secretaria de Estado da Saúde: Gerencia Regional de Saúde</w:t>
      </w:r>
      <w:r>
        <w:rPr>
          <w:rFonts w:ascii="Arial" w:hAnsi="Arial" w:cs="Arial"/>
          <w:color w:val="000000"/>
          <w:szCs w:val="24"/>
          <w:lang w:eastAsia="en-US"/>
        </w:rPr>
        <w:t>,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Sede do CR, preferencialmente de uma das seguintes áreas: Vigilância Epidemiológica, Atenção Básica de Saúde e nas Áreas Técnicas de Saúde da Criança e da Mulher;</w:t>
      </w:r>
    </w:p>
    <w:p w:rsidR="005809CC" w:rsidRPr="00C807E1" w:rsidRDefault="005809CC" w:rsidP="00327C77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II - representante das Secretarias Municipais de Saúde, preferencialmente de uma das seguintes áreas: Vigilância Epidemiológica, Atenção Básica de Saúde e nas Áreas Técnicas de Saúde da Criança e da Mulher;</w:t>
      </w:r>
    </w:p>
    <w:p w:rsidR="005809CC" w:rsidRPr="00C807E1" w:rsidRDefault="005809CC" w:rsidP="007F2628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 xml:space="preserve">III </w:t>
      </w:r>
      <w:r>
        <w:rPr>
          <w:rFonts w:ascii="Arial" w:hAnsi="Arial" w:cs="Arial"/>
          <w:color w:val="000000"/>
          <w:szCs w:val="24"/>
          <w:lang w:eastAsia="en-US"/>
        </w:rPr>
        <w:t>-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Instituições de Ensino Superior</w:t>
      </w:r>
      <w:r>
        <w:rPr>
          <w:rFonts w:ascii="Arial" w:hAnsi="Arial" w:cs="Arial"/>
          <w:color w:val="000000"/>
          <w:szCs w:val="24"/>
          <w:lang w:eastAsia="en-US"/>
        </w:rPr>
        <w:t>,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com cursos na área da saúde</w:t>
      </w:r>
      <w:r>
        <w:rPr>
          <w:rFonts w:ascii="Arial" w:hAnsi="Arial" w:cs="Arial"/>
          <w:color w:val="000000"/>
          <w:szCs w:val="24"/>
          <w:lang w:eastAsia="en-US"/>
        </w:rPr>
        <w:t>,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existentes na região de abrangência do Comitê;</w:t>
      </w:r>
    </w:p>
    <w:p w:rsidR="005809CC" w:rsidRPr="00C807E1" w:rsidRDefault="005809CC" w:rsidP="003F374C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IV - Associação Brasileira de Enfermagem;</w:t>
      </w:r>
    </w:p>
    <w:p w:rsidR="005809CC" w:rsidRPr="00C807E1" w:rsidRDefault="005809CC" w:rsidP="003F374C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V - Sociedade Catarinense de Pediatria;</w:t>
      </w:r>
    </w:p>
    <w:p w:rsidR="005809CC" w:rsidRPr="00C807E1" w:rsidRDefault="005809CC" w:rsidP="003F374C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VI - Sociedade Catarinense de Obstetrícia e Ginecologia;</w:t>
      </w:r>
    </w:p>
    <w:p w:rsidR="005809CC" w:rsidRPr="00C807E1" w:rsidRDefault="005809CC" w:rsidP="003F374C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 xml:space="preserve">VII </w:t>
      </w:r>
      <w:r>
        <w:rPr>
          <w:rFonts w:ascii="Arial" w:hAnsi="Arial" w:cs="Arial"/>
          <w:color w:val="000000"/>
          <w:szCs w:val="24"/>
          <w:lang w:eastAsia="en-US"/>
        </w:rPr>
        <w:t>-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Membro nato das Comissões Intergestores Regionais (CIR/SC);</w:t>
      </w:r>
    </w:p>
    <w:p w:rsidR="005809CC" w:rsidRPr="003F374C" w:rsidRDefault="005809CC" w:rsidP="003F374C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 xml:space="preserve">VIII - </w:t>
      </w:r>
      <w:r w:rsidRPr="003F374C">
        <w:rPr>
          <w:rFonts w:ascii="Arial" w:hAnsi="Arial" w:cs="Arial"/>
          <w:color w:val="000000"/>
          <w:szCs w:val="24"/>
          <w:lang w:eastAsia="en-US"/>
        </w:rPr>
        <w:t xml:space="preserve">Comitês Hospitalares  e  Núcleos de Investigação Epidemiológica Hospitalar, integram hospitais públicos e privados que atendem o ciclo grávido puerperal, nascimento e crianças menores de um ano; </w:t>
      </w:r>
    </w:p>
    <w:p w:rsidR="005809CC" w:rsidRDefault="005809CC" w:rsidP="00327C77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 xml:space="preserve">IX - Secretaria Especial de Saúde Indígena </w:t>
      </w:r>
      <w:r>
        <w:rPr>
          <w:rFonts w:ascii="Arial" w:hAnsi="Arial" w:cs="Arial"/>
          <w:color w:val="000000"/>
          <w:szCs w:val="24"/>
          <w:lang w:eastAsia="en-US"/>
        </w:rPr>
        <w:t>(</w:t>
      </w:r>
      <w:r w:rsidRPr="00C807E1">
        <w:rPr>
          <w:rFonts w:ascii="Arial" w:hAnsi="Arial" w:cs="Arial"/>
          <w:color w:val="000000"/>
          <w:szCs w:val="24"/>
          <w:lang w:eastAsia="en-US"/>
        </w:rPr>
        <w:t>SESAI/DSEI</w:t>
      </w:r>
      <w:r>
        <w:rPr>
          <w:rFonts w:ascii="Arial" w:hAnsi="Arial" w:cs="Arial"/>
          <w:color w:val="000000"/>
          <w:szCs w:val="24"/>
          <w:lang w:eastAsia="en-US"/>
        </w:rPr>
        <w:t>)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- Interior Sul (regiões com  comunidades indígenas).</w:t>
      </w:r>
    </w:p>
    <w:p w:rsidR="005809CC" w:rsidRPr="00C807E1" w:rsidRDefault="005809CC" w:rsidP="00327C77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bCs/>
          <w:szCs w:val="24"/>
          <w:lang w:eastAsia="es-ES_tradnl"/>
        </w:rPr>
        <w:t xml:space="preserve">§ 1º 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Os representantes serão indicados e designados pelas instituições a que pertencem, para um mandato de dois anos.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bCs/>
          <w:szCs w:val="24"/>
          <w:lang w:eastAsia="es-ES_tradnl"/>
        </w:rPr>
        <w:t>§ 2º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 Poderão ainda compor os Comitês Regionais outras instituições afins, além das acima nomeadas, desde que solicitada sua participação, e aprovada pelo Comitê Regional, notificado o CEPOMIF.</w:t>
      </w:r>
    </w:p>
    <w:p w:rsidR="005809CC" w:rsidRPr="00C807E1" w:rsidRDefault="005809CC" w:rsidP="006565AA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bCs/>
          <w:szCs w:val="24"/>
          <w:lang w:eastAsia="es-ES_tradnl"/>
        </w:rPr>
        <w:t>§ 3º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 As instituições somente serão excluídas da composição do Comitê Regional mediante solicitação escrita de seu representante oficial.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bCs/>
          <w:szCs w:val="24"/>
          <w:lang w:eastAsia="es-ES_tradnl"/>
        </w:rPr>
        <w:t>§ 4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 A participação de cada membro do Comitê ocorrerá por representação de duas instituições, no máximo, independentemente da condição de titular ou suplente.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bCs/>
          <w:szCs w:val="24"/>
          <w:lang w:eastAsia="es-ES_tradnl"/>
        </w:rPr>
        <w:t>§ 5º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 Em caso de três faltas consecutivas ou quatro faltas alternadas a reuniões ordinárias, sem justificativa, durante o mandato, será solicitada à instituição correspondente a substituição do membro representante.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bCs/>
          <w:szCs w:val="24"/>
          <w:lang w:eastAsia="es-ES_tradnl"/>
        </w:rPr>
        <w:t>Art. 5º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 A Coordenação do Comitê Regional será exercida por um Coordenador e por um Vice-Coordenador, ambos com mandato de dois anos, permitida recondução por mais um período de dois anos.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Parágrafo único.  O Coordenador deverá ser representante da Regional de Saúde sede do CR, enquanto que o Vice-Coordenador, será escolhido entre seus pares, poderá ser oriundo do quadro de outra instituição, pública ou privada, de assistência à saúde, de educação e pesquisa, de organização não governamental ou de associação.</w:t>
      </w:r>
    </w:p>
    <w:p w:rsidR="005809CC" w:rsidRPr="003F374C" w:rsidRDefault="005809CC" w:rsidP="003F374C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bCs/>
          <w:szCs w:val="24"/>
          <w:lang w:eastAsia="es-ES_tradnl"/>
        </w:rPr>
      </w:pPr>
    </w:p>
    <w:p w:rsidR="005809CC" w:rsidRPr="003F374C" w:rsidRDefault="005809CC" w:rsidP="003F374C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bCs/>
          <w:szCs w:val="24"/>
          <w:lang w:eastAsia="es-ES_tradnl"/>
        </w:rPr>
      </w:pPr>
    </w:p>
    <w:p w:rsidR="005809CC" w:rsidRPr="003F374C" w:rsidRDefault="005809CC" w:rsidP="003F374C">
      <w:pPr>
        <w:pStyle w:val="Heading5"/>
        <w:keepLines w:val="0"/>
        <w:spacing w:before="0" w:line="360" w:lineRule="auto"/>
        <w:jc w:val="center"/>
        <w:rPr>
          <w:rFonts w:ascii="Arial" w:hAnsi="Arial" w:cs="Arial"/>
          <w:bCs/>
          <w:color w:val="auto"/>
          <w:lang w:val="pt-BR" w:eastAsia="pt-BR"/>
        </w:rPr>
      </w:pPr>
      <w:r w:rsidRPr="003F374C">
        <w:rPr>
          <w:rFonts w:ascii="Arial" w:hAnsi="Arial" w:cs="Arial"/>
          <w:bCs/>
          <w:color w:val="auto"/>
          <w:lang w:val="pt-BR" w:eastAsia="pt-BR"/>
        </w:rPr>
        <w:t>TÍTULO IV</w:t>
      </w:r>
    </w:p>
    <w:p w:rsidR="005809CC" w:rsidRPr="003F374C" w:rsidRDefault="005809CC" w:rsidP="003F374C">
      <w:pPr>
        <w:pStyle w:val="Heading5"/>
        <w:keepLines w:val="0"/>
        <w:spacing w:before="0" w:line="360" w:lineRule="auto"/>
        <w:jc w:val="center"/>
        <w:rPr>
          <w:rFonts w:ascii="Arial" w:hAnsi="Arial" w:cs="Arial"/>
          <w:bCs/>
          <w:color w:val="auto"/>
          <w:lang w:val="pt-BR" w:eastAsia="pt-BR"/>
        </w:rPr>
      </w:pPr>
      <w:r w:rsidRPr="003F374C">
        <w:rPr>
          <w:rFonts w:ascii="Arial" w:hAnsi="Arial" w:cs="Arial"/>
          <w:bCs/>
          <w:color w:val="auto"/>
          <w:lang w:val="pt-BR" w:eastAsia="pt-BR"/>
        </w:rPr>
        <w:t>DAS COMPETÊNCIAS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bCs/>
          <w:szCs w:val="24"/>
          <w:lang w:eastAsia="es-ES_tradnl"/>
        </w:rPr>
      </w:pP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bCs/>
          <w:szCs w:val="24"/>
          <w:lang w:eastAsia="es-ES_tradnl"/>
        </w:rPr>
        <w:t>Art.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6º  Compete ao Coordenador: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I - representar o Comitê Regional em sessões públicas ou, quando convidado, no contexto da Região de Saúde;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II - convocar e coordenar as reuniões do Comitê Regional;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III - encaminhar propostas à apreciação e votação pelo Comitê Regional;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IV - participar das reuniões do CEPOMIF, quando convocado ou convidado;</w:t>
      </w:r>
    </w:p>
    <w:p w:rsidR="005809CC" w:rsidRPr="00C807E1" w:rsidRDefault="005809CC" w:rsidP="005B3D59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V - dar ciência à Coordenação do CEPOMIF sobre o que for homologado, assinado e encaminhado sobre a Vigilância Epidemiológica dos Óbitos Materno, Infantil e Fetal no contexto da Região  de Saúde;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VI - coordenar a composição e produção do Relatório Anual sobre o contexto regional de saúde;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VII - coordenar a elaboração do plano anual de trabalho do Comitê Regional;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VIII - coordenar as visitas educativas nos Municípios, quando deliberadas pelo Comitê Regional;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IX – cumprir e fazer cumprir este Regimento;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X - indicar substituto temporário, em casos excepcionais.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bCs/>
          <w:szCs w:val="24"/>
          <w:lang w:eastAsia="es-ES_tradnl"/>
        </w:rPr>
        <w:t>Art. 7º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 Compete ao Vice Coordenador: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 xml:space="preserve">I </w:t>
      </w:r>
      <w:r>
        <w:rPr>
          <w:rFonts w:ascii="Arial" w:hAnsi="Arial" w:cs="Arial"/>
          <w:color w:val="000000"/>
          <w:szCs w:val="24"/>
          <w:lang w:eastAsia="en-US"/>
        </w:rPr>
        <w:t>-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auxiliar o Coordenador nas suas funções;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II - auxiliar na redação e produção do Relatório Anual do Comitê;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 xml:space="preserve">III </w:t>
      </w:r>
      <w:r>
        <w:rPr>
          <w:rFonts w:ascii="Arial" w:hAnsi="Arial" w:cs="Arial"/>
          <w:color w:val="000000"/>
          <w:szCs w:val="24"/>
          <w:lang w:eastAsia="en-US"/>
        </w:rPr>
        <w:t>-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substituir o Coordenador em impedimentos temporários;</w:t>
      </w:r>
    </w:p>
    <w:p w:rsidR="005809CC" w:rsidRPr="00C807E1" w:rsidRDefault="005809CC" w:rsidP="00ED6D59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 xml:space="preserve">IV </w:t>
      </w:r>
      <w:r>
        <w:rPr>
          <w:rFonts w:ascii="Arial" w:hAnsi="Arial" w:cs="Arial"/>
          <w:color w:val="000000"/>
          <w:szCs w:val="24"/>
          <w:lang w:eastAsia="en-US"/>
        </w:rPr>
        <w:t>-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participar das visitas educativas nos Municípios, juntamente com o Coordenador do Comitê Regional;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 xml:space="preserve">V </w:t>
      </w:r>
      <w:r>
        <w:rPr>
          <w:rFonts w:ascii="Arial" w:hAnsi="Arial" w:cs="Arial"/>
          <w:color w:val="000000"/>
          <w:szCs w:val="24"/>
          <w:lang w:eastAsia="en-US"/>
        </w:rPr>
        <w:t>-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cumprir e fazer cumprir este Regimento</w:t>
      </w:r>
      <w:r>
        <w:rPr>
          <w:rFonts w:ascii="Arial" w:hAnsi="Arial" w:cs="Arial"/>
          <w:color w:val="000000"/>
          <w:szCs w:val="24"/>
          <w:lang w:eastAsia="en-US"/>
        </w:rPr>
        <w:t>;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VI</w:t>
      </w:r>
      <w:r>
        <w:rPr>
          <w:rFonts w:ascii="Arial" w:hAnsi="Arial" w:cs="Arial"/>
          <w:color w:val="000000"/>
          <w:szCs w:val="24"/>
          <w:lang w:eastAsia="en-US"/>
        </w:rPr>
        <w:t xml:space="preserve"> -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outras que lhe forem delegadas pelo Coordenador.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bCs/>
          <w:szCs w:val="24"/>
          <w:lang w:eastAsia="es-ES_tradnl"/>
        </w:rPr>
      </w:pP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bCs/>
          <w:szCs w:val="24"/>
          <w:lang w:eastAsia="es-ES_tradnl"/>
        </w:rPr>
        <w:t>Art. 8º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 Compete aos membros de cada Comitê Regional: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 xml:space="preserve">I </w:t>
      </w:r>
      <w:r>
        <w:rPr>
          <w:rFonts w:ascii="Arial" w:hAnsi="Arial" w:cs="Arial"/>
          <w:color w:val="000000"/>
          <w:szCs w:val="24"/>
          <w:lang w:eastAsia="en-US"/>
        </w:rPr>
        <w:t>-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cumprir e fazer cumprir este Regimento;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 xml:space="preserve">II </w:t>
      </w:r>
      <w:r>
        <w:rPr>
          <w:rFonts w:ascii="Arial" w:hAnsi="Arial" w:cs="Arial"/>
          <w:color w:val="000000"/>
          <w:szCs w:val="24"/>
          <w:lang w:eastAsia="en-US"/>
        </w:rPr>
        <w:t>-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realizar as atividades definidas pelo Comitê Regional;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 xml:space="preserve">III </w:t>
      </w:r>
      <w:r>
        <w:rPr>
          <w:rFonts w:ascii="Arial" w:hAnsi="Arial" w:cs="Arial"/>
          <w:color w:val="000000"/>
          <w:szCs w:val="24"/>
          <w:lang w:eastAsia="en-US"/>
        </w:rPr>
        <w:t>-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difundir as Resoluções do Comitê junto às instituições que representam;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IV - auxiliar na redação e produção do Relatório Anual do Comitê;</w:t>
      </w:r>
    </w:p>
    <w:p w:rsidR="005809CC" w:rsidRPr="00C807E1" w:rsidRDefault="005809CC" w:rsidP="00ED6D59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 xml:space="preserve">V </w:t>
      </w:r>
      <w:r>
        <w:rPr>
          <w:rFonts w:ascii="Arial" w:hAnsi="Arial" w:cs="Arial"/>
          <w:color w:val="000000"/>
          <w:szCs w:val="24"/>
          <w:lang w:eastAsia="en-US"/>
        </w:rPr>
        <w:t>-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participar de visitas educativas nos Municípios, quando deliberadas pelo Comitê;</w:t>
      </w:r>
    </w:p>
    <w:p w:rsidR="005809CC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VII - participar das reuniões do Comitê, e contribuir para o cumprimento de sua finalidade e agenda.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</w:p>
    <w:p w:rsidR="005809CC" w:rsidRPr="00C807E1" w:rsidRDefault="005809CC" w:rsidP="003615CD">
      <w:pPr>
        <w:pStyle w:val="BodyText2"/>
        <w:spacing w:after="120" w:line="360" w:lineRule="auto"/>
        <w:ind w:right="0" w:firstLine="567"/>
        <w:jc w:val="both"/>
        <w:rPr>
          <w:szCs w:val="24"/>
        </w:rPr>
      </w:pPr>
      <w:r w:rsidRPr="00C807E1">
        <w:rPr>
          <w:bCs/>
          <w:szCs w:val="24"/>
          <w:lang w:eastAsia="es-ES_tradnl"/>
        </w:rPr>
        <w:t>Art. 9º</w:t>
      </w:r>
      <w:r w:rsidRPr="00C807E1">
        <w:rPr>
          <w:color w:val="000000"/>
          <w:szCs w:val="24"/>
          <w:lang w:eastAsia="en-US"/>
        </w:rPr>
        <w:t xml:space="preserve">  Compete ao</w:t>
      </w:r>
      <w:r w:rsidRPr="00C807E1">
        <w:rPr>
          <w:szCs w:val="24"/>
        </w:rPr>
        <w:t xml:space="preserve"> Secretário do Comitê Regional, indicado pela gerencia regional de saúde sede:</w:t>
      </w:r>
    </w:p>
    <w:p w:rsidR="005809CC" w:rsidRPr="00C807E1" w:rsidRDefault="005809CC" w:rsidP="005B3D59">
      <w:pPr>
        <w:pStyle w:val="BodyText2"/>
        <w:spacing w:after="120" w:line="360" w:lineRule="auto"/>
        <w:ind w:right="0" w:firstLine="567"/>
        <w:jc w:val="both"/>
        <w:rPr>
          <w:szCs w:val="24"/>
        </w:rPr>
      </w:pPr>
      <w:r w:rsidRPr="00C807E1">
        <w:rPr>
          <w:szCs w:val="24"/>
        </w:rPr>
        <w:t>I - enviar aos membros titular e suplente a pauta das reuniões ordinárias e extraordinárias do Comitê;</w:t>
      </w:r>
    </w:p>
    <w:p w:rsidR="005809CC" w:rsidRPr="00C807E1" w:rsidRDefault="005809CC" w:rsidP="000316F2">
      <w:pPr>
        <w:pStyle w:val="BodyText2"/>
        <w:spacing w:after="120" w:line="360" w:lineRule="auto"/>
        <w:ind w:left="910" w:right="0" w:hanging="343"/>
        <w:jc w:val="both"/>
        <w:rPr>
          <w:color w:val="000000"/>
          <w:szCs w:val="24"/>
          <w:lang w:eastAsia="en-US"/>
        </w:rPr>
      </w:pPr>
      <w:r w:rsidRPr="00C807E1">
        <w:rPr>
          <w:szCs w:val="24"/>
        </w:rPr>
        <w:t xml:space="preserve">II - </w:t>
      </w:r>
      <w:r w:rsidRPr="00C807E1">
        <w:rPr>
          <w:color w:val="000000"/>
          <w:szCs w:val="24"/>
          <w:lang w:eastAsia="en-US"/>
        </w:rPr>
        <w:t>redigir a Ata de cada reunião;</w:t>
      </w:r>
    </w:p>
    <w:p w:rsidR="005809CC" w:rsidRPr="00C807E1" w:rsidRDefault="005809CC" w:rsidP="005B3D59">
      <w:pPr>
        <w:pStyle w:val="BodyText2"/>
        <w:spacing w:after="120" w:line="360" w:lineRule="auto"/>
        <w:ind w:right="0" w:firstLine="567"/>
        <w:jc w:val="both"/>
        <w:rPr>
          <w:szCs w:val="24"/>
        </w:rPr>
      </w:pPr>
      <w:r w:rsidRPr="00C807E1">
        <w:rPr>
          <w:szCs w:val="24"/>
        </w:rPr>
        <w:t>III - manter cadastro atualizado de todos os membros do Comitê;</w:t>
      </w:r>
    </w:p>
    <w:p w:rsidR="005809CC" w:rsidRPr="00C807E1" w:rsidRDefault="005809CC" w:rsidP="005B3D59">
      <w:pPr>
        <w:pStyle w:val="BodyText2"/>
        <w:spacing w:after="120" w:line="360" w:lineRule="auto"/>
        <w:ind w:right="0" w:firstLine="567"/>
        <w:jc w:val="both"/>
        <w:rPr>
          <w:szCs w:val="24"/>
        </w:rPr>
      </w:pPr>
      <w:r w:rsidRPr="00C807E1">
        <w:rPr>
          <w:szCs w:val="24"/>
        </w:rPr>
        <w:t>IV - providenciar o envio de correspondências relativas às atividades do Comitê, quando definido pelo Coordenador;</w:t>
      </w:r>
    </w:p>
    <w:p w:rsidR="005809CC" w:rsidRPr="00C807E1" w:rsidRDefault="005809CC" w:rsidP="005B3D59">
      <w:pPr>
        <w:pStyle w:val="BodyText2"/>
        <w:spacing w:after="120" w:line="360" w:lineRule="auto"/>
        <w:ind w:right="0" w:firstLine="567"/>
        <w:jc w:val="both"/>
        <w:rPr>
          <w:szCs w:val="24"/>
        </w:rPr>
      </w:pPr>
      <w:r w:rsidRPr="00C807E1">
        <w:rPr>
          <w:szCs w:val="24"/>
        </w:rPr>
        <w:t xml:space="preserve">V </w:t>
      </w:r>
      <w:r>
        <w:rPr>
          <w:szCs w:val="24"/>
        </w:rPr>
        <w:t>-</w:t>
      </w:r>
      <w:r w:rsidRPr="00C807E1">
        <w:rPr>
          <w:szCs w:val="24"/>
        </w:rPr>
        <w:t xml:space="preserve"> comunicar ao Coordenador todas as solicitações e/ou correspondências recebidas em nome do Comitê;</w:t>
      </w:r>
    </w:p>
    <w:p w:rsidR="005809CC" w:rsidRPr="00C807E1" w:rsidRDefault="005809CC" w:rsidP="005B3D59">
      <w:pPr>
        <w:pStyle w:val="BodyText2"/>
        <w:spacing w:after="120" w:line="360" w:lineRule="auto"/>
        <w:ind w:right="0" w:firstLine="567"/>
        <w:jc w:val="both"/>
        <w:rPr>
          <w:szCs w:val="24"/>
        </w:rPr>
      </w:pPr>
      <w:r w:rsidRPr="00C807E1">
        <w:rPr>
          <w:szCs w:val="24"/>
        </w:rPr>
        <w:t>VI - organizar o arquivo, respeitada a tabela de temporalidade do Estado de Santa Catarina quanto a documentos que versem sobre, mantendo os documentos sistematizados de modo a garantir o sigilo, e somente permitir acesso a eles com autorização escrita do Coordenador do Comitê;</w:t>
      </w:r>
    </w:p>
    <w:p w:rsidR="005809CC" w:rsidRPr="00C807E1" w:rsidRDefault="005809CC" w:rsidP="00B75F78">
      <w:pPr>
        <w:pStyle w:val="BodyText2"/>
        <w:spacing w:after="120" w:line="360" w:lineRule="auto"/>
        <w:ind w:right="0" w:firstLine="567"/>
        <w:jc w:val="both"/>
        <w:rPr>
          <w:szCs w:val="24"/>
        </w:rPr>
      </w:pPr>
      <w:r w:rsidRPr="00C807E1">
        <w:rPr>
          <w:szCs w:val="24"/>
        </w:rPr>
        <w:t xml:space="preserve">VII </w:t>
      </w:r>
      <w:r>
        <w:rPr>
          <w:szCs w:val="24"/>
        </w:rPr>
        <w:t>-</w:t>
      </w:r>
      <w:r w:rsidRPr="00C807E1">
        <w:rPr>
          <w:szCs w:val="24"/>
        </w:rPr>
        <w:t xml:space="preserve"> atender às atividades de secretaria do Comitê, definidas pelo Coordenador;</w:t>
      </w:r>
    </w:p>
    <w:p w:rsidR="005809CC" w:rsidRDefault="005809CC" w:rsidP="00B75F78">
      <w:pPr>
        <w:pStyle w:val="BodyText2"/>
        <w:spacing w:after="120" w:line="360" w:lineRule="auto"/>
        <w:ind w:right="0" w:firstLine="567"/>
        <w:jc w:val="both"/>
        <w:rPr>
          <w:szCs w:val="24"/>
        </w:rPr>
      </w:pPr>
      <w:r w:rsidRPr="00C807E1">
        <w:rPr>
          <w:szCs w:val="24"/>
        </w:rPr>
        <w:t>VIII - Conhecer, cumprir e fazer cumprir este Regimento.</w:t>
      </w:r>
    </w:p>
    <w:p w:rsidR="005809CC" w:rsidRPr="00B75F78" w:rsidRDefault="005809CC" w:rsidP="00B75F78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bCs/>
          <w:szCs w:val="24"/>
          <w:lang w:eastAsia="es-ES_tradnl"/>
        </w:rPr>
      </w:pPr>
    </w:p>
    <w:p w:rsidR="005809CC" w:rsidRPr="00B75F78" w:rsidRDefault="005809CC" w:rsidP="00B75F78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bCs/>
          <w:szCs w:val="24"/>
          <w:lang w:eastAsia="es-ES_tradnl"/>
        </w:rPr>
      </w:pPr>
    </w:p>
    <w:p w:rsidR="005809CC" w:rsidRPr="00B75F78" w:rsidRDefault="005809CC" w:rsidP="00B75F78">
      <w:pPr>
        <w:pStyle w:val="Heading5"/>
        <w:keepLines w:val="0"/>
        <w:spacing w:before="0" w:line="360" w:lineRule="auto"/>
        <w:jc w:val="center"/>
        <w:rPr>
          <w:rFonts w:ascii="Arial" w:hAnsi="Arial" w:cs="Arial"/>
          <w:bCs/>
          <w:color w:val="auto"/>
          <w:lang w:val="pt-BR" w:eastAsia="pt-BR"/>
        </w:rPr>
      </w:pPr>
      <w:r w:rsidRPr="00B75F78">
        <w:rPr>
          <w:rFonts w:ascii="Arial" w:hAnsi="Arial" w:cs="Arial"/>
          <w:bCs/>
          <w:color w:val="auto"/>
          <w:lang w:val="pt-BR" w:eastAsia="pt-BR"/>
        </w:rPr>
        <w:t>TÍTULO V</w:t>
      </w:r>
    </w:p>
    <w:p w:rsidR="005809CC" w:rsidRPr="00B75F78" w:rsidRDefault="005809CC" w:rsidP="00B75F78">
      <w:pPr>
        <w:pStyle w:val="Heading5"/>
        <w:keepLines w:val="0"/>
        <w:spacing w:before="0" w:line="360" w:lineRule="auto"/>
        <w:jc w:val="center"/>
        <w:rPr>
          <w:rFonts w:ascii="Arial" w:hAnsi="Arial" w:cs="Arial"/>
          <w:bCs/>
          <w:color w:val="auto"/>
          <w:lang w:val="pt-BR" w:eastAsia="pt-BR"/>
        </w:rPr>
      </w:pPr>
      <w:r w:rsidRPr="00B75F78">
        <w:rPr>
          <w:rFonts w:ascii="Arial" w:hAnsi="Arial" w:cs="Arial"/>
          <w:bCs/>
          <w:color w:val="auto"/>
          <w:lang w:val="pt-BR" w:eastAsia="pt-BR"/>
        </w:rPr>
        <w:t>DO FUNCIONAMENTO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</w:p>
    <w:p w:rsidR="005809CC" w:rsidRPr="00C807E1" w:rsidRDefault="005809CC" w:rsidP="003615CD">
      <w:pPr>
        <w:pStyle w:val="BodyText2"/>
        <w:spacing w:after="120" w:line="360" w:lineRule="auto"/>
        <w:ind w:right="0" w:firstLine="567"/>
        <w:jc w:val="both"/>
        <w:rPr>
          <w:color w:val="000000"/>
          <w:szCs w:val="24"/>
          <w:lang w:eastAsia="en-US"/>
        </w:rPr>
      </w:pPr>
      <w:r w:rsidRPr="00C807E1">
        <w:rPr>
          <w:bCs/>
          <w:szCs w:val="24"/>
          <w:lang w:eastAsia="es-ES_tradnl"/>
        </w:rPr>
        <w:t xml:space="preserve">Art. 10 </w:t>
      </w:r>
      <w:r w:rsidRPr="00C807E1">
        <w:rPr>
          <w:color w:val="000000"/>
          <w:szCs w:val="24"/>
          <w:lang w:eastAsia="en-US"/>
        </w:rPr>
        <w:t xml:space="preserve"> O CR terá uma reunião ordinária, por mês, e reuniões extraordinárias, quando necessárias, mediante convocação de seu Coordenador ou pela maioria simples (50% mais um) dos representantes das instituições que integram o Comitê.</w:t>
      </w:r>
    </w:p>
    <w:p w:rsidR="005809CC" w:rsidRPr="00C807E1" w:rsidRDefault="005809CC" w:rsidP="003615CD">
      <w:pPr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lang w:val="pt-BR" w:eastAsia="en-US"/>
        </w:rPr>
      </w:pPr>
      <w:r w:rsidRPr="00C807E1">
        <w:rPr>
          <w:rFonts w:ascii="Arial" w:hAnsi="Arial" w:cs="Arial"/>
          <w:bCs/>
          <w:lang w:val="pt-BR"/>
        </w:rPr>
        <w:t>§ 1º</w:t>
      </w:r>
      <w:r w:rsidRPr="00C807E1">
        <w:rPr>
          <w:rFonts w:ascii="Arial" w:hAnsi="Arial" w:cs="Arial"/>
          <w:color w:val="000000"/>
          <w:lang w:val="pt-BR" w:eastAsia="en-US"/>
        </w:rPr>
        <w:t xml:space="preserve">  Em sua reunião mensal, o Comitê Regional procederá à análise, síntese e conclusões dos casos investigados pelo Município.</w:t>
      </w:r>
    </w:p>
    <w:p w:rsidR="005809CC" w:rsidRPr="00C807E1" w:rsidRDefault="005809CC" w:rsidP="003615CD">
      <w:pPr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lang w:val="pt-BR" w:eastAsia="en-US"/>
        </w:rPr>
      </w:pPr>
      <w:r w:rsidRPr="00C807E1">
        <w:rPr>
          <w:rFonts w:ascii="Arial" w:hAnsi="Arial" w:cs="Arial"/>
          <w:bCs/>
          <w:lang w:val="pt-BR"/>
        </w:rPr>
        <w:t>§ 2º</w:t>
      </w:r>
      <w:r w:rsidRPr="00C807E1">
        <w:rPr>
          <w:rFonts w:ascii="Arial" w:hAnsi="Arial" w:cs="Arial"/>
          <w:color w:val="000000"/>
          <w:lang w:val="pt-BR" w:eastAsia="en-US"/>
        </w:rPr>
        <w:t xml:space="preserve">  Na ocorrência de casos inconclusivos ou que apresentem evidências com novas características, o Comitê Regional orientará nova investigação, podendo inclusive indicar a participação de um ou mais de seus integrantes. </w:t>
      </w:r>
    </w:p>
    <w:p w:rsidR="005809CC" w:rsidRPr="00C807E1" w:rsidRDefault="005809CC" w:rsidP="00684DE8">
      <w:pPr>
        <w:pStyle w:val="Header"/>
        <w:spacing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bCs/>
          <w:szCs w:val="24"/>
          <w:lang w:eastAsia="es-ES_tradnl"/>
        </w:rPr>
        <w:t>Art. 11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 As deliberações sobre os temas agendados no Comitê Regional serão tomadas em votação por maioria simples dos membros presentes à reunião, </w:t>
      </w:r>
      <w:r w:rsidRPr="00C807E1">
        <w:rPr>
          <w:rFonts w:ascii="Arial" w:hAnsi="Arial" w:cs="Arial"/>
          <w:szCs w:val="24"/>
        </w:rPr>
        <w:t xml:space="preserve">obedecido o </w:t>
      </w:r>
      <w:r w:rsidRPr="00C807E1">
        <w:rPr>
          <w:rFonts w:ascii="Arial" w:hAnsi="Arial" w:cs="Arial"/>
          <w:i/>
          <w:szCs w:val="24"/>
        </w:rPr>
        <w:t>quorum</w:t>
      </w:r>
      <w:r w:rsidRPr="00C807E1">
        <w:rPr>
          <w:rFonts w:ascii="Arial" w:hAnsi="Arial" w:cs="Arial"/>
          <w:szCs w:val="24"/>
        </w:rPr>
        <w:t xml:space="preserve"> mínimo de metade mais um dos membros, </w:t>
      </w:r>
      <w:r w:rsidRPr="00C807E1">
        <w:rPr>
          <w:rFonts w:ascii="Arial" w:hAnsi="Arial" w:cs="Arial"/>
          <w:color w:val="000000"/>
          <w:szCs w:val="24"/>
          <w:lang w:eastAsia="en-US"/>
        </w:rPr>
        <w:t>cabendo ao Coordenador a decisão no caso de empate, devendo ser encaminhada ao Coordenador do CEPOMIF a Ata com os resultados.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Parágrafo único.  A votação será nominal e em aberto.</w:t>
      </w:r>
    </w:p>
    <w:p w:rsidR="005809CC" w:rsidRPr="00C807E1" w:rsidRDefault="005809CC" w:rsidP="003615CD">
      <w:pPr>
        <w:pStyle w:val="BodyText2"/>
        <w:spacing w:after="120" w:line="360" w:lineRule="auto"/>
        <w:ind w:right="0" w:firstLine="567"/>
        <w:jc w:val="both"/>
        <w:rPr>
          <w:color w:val="000000"/>
          <w:szCs w:val="24"/>
          <w:lang w:eastAsia="en-US"/>
        </w:rPr>
      </w:pPr>
      <w:r w:rsidRPr="00C807E1">
        <w:rPr>
          <w:bCs/>
          <w:szCs w:val="24"/>
          <w:lang w:eastAsia="es-ES_tradnl"/>
        </w:rPr>
        <w:t>Art. 12</w:t>
      </w:r>
      <w:r w:rsidRPr="00C807E1">
        <w:rPr>
          <w:color w:val="000000"/>
          <w:szCs w:val="24"/>
          <w:lang w:eastAsia="en-US"/>
        </w:rPr>
        <w:t xml:space="preserve">  O Comitê Regional receberá apoio técnico, administrativo e financeiro da Secretaria de Estado da Saúde.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bCs/>
          <w:szCs w:val="24"/>
          <w:lang w:eastAsia="es-ES_tradnl"/>
        </w:rPr>
        <w:t>Art. 13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 O Comitê Regional poderá constituir comissões permanentes ou temporárias, deliberadas em plenária, compostas por membros titulares, suplentes e convidados.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bCs/>
          <w:szCs w:val="24"/>
          <w:lang w:eastAsia="es-ES_tradnl"/>
        </w:rPr>
        <w:t>Art.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14  Poderão ser solicitadas assessorias pelo Comitê ao CEPOMIF ou a especialistas externos à SES/SC, visando ao aprimoramento técnico-científico, à elucidação de questões ou por razões de outra natureza, sempre que se fizerem necessárias.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bCs/>
          <w:szCs w:val="24"/>
          <w:lang w:eastAsia="es-ES_tradnl"/>
        </w:rPr>
        <w:t>Art. 15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 Todas as informações acerca do funcionamento do Comitê Regional e dos resultados da Investigação Epidemiológica sobre os Óbitos Materno, Infantil e Fetal serão apresentadas publicamente somente pelo Coordenador, e redigidas no Colegiado do Comitê.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Parágrafo único.  O membro do Comitê somente poderá se manifestar publicamente acerca dos resultados de Investigação Epidemiológica dos Óbitos Materno, Infantil e Fetal, quando autorizado por escrito pelo Comitê.</w:t>
      </w:r>
    </w:p>
    <w:p w:rsidR="005809CC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bCs/>
          <w:szCs w:val="24"/>
          <w:lang w:eastAsia="es-ES_tradnl"/>
        </w:rPr>
      </w:pPr>
    </w:p>
    <w:p w:rsidR="005809CC" w:rsidRPr="00B75F78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bCs/>
          <w:szCs w:val="24"/>
          <w:lang w:eastAsia="es-ES_tradnl"/>
        </w:rPr>
      </w:pPr>
    </w:p>
    <w:p w:rsidR="005809CC" w:rsidRPr="00B75F78" w:rsidRDefault="005809CC" w:rsidP="00B75F78">
      <w:pPr>
        <w:pStyle w:val="Heading5"/>
        <w:keepLines w:val="0"/>
        <w:spacing w:before="0" w:line="360" w:lineRule="auto"/>
        <w:jc w:val="center"/>
        <w:rPr>
          <w:rFonts w:ascii="Arial" w:hAnsi="Arial" w:cs="Arial"/>
          <w:bCs/>
          <w:color w:val="auto"/>
          <w:lang w:val="pt-BR" w:eastAsia="pt-BR"/>
        </w:rPr>
      </w:pPr>
      <w:r w:rsidRPr="00B75F78">
        <w:rPr>
          <w:rFonts w:ascii="Arial" w:hAnsi="Arial" w:cs="Arial"/>
          <w:bCs/>
          <w:color w:val="auto"/>
          <w:lang w:val="pt-BR" w:eastAsia="pt-BR"/>
        </w:rPr>
        <w:t>TITULO VI</w:t>
      </w:r>
    </w:p>
    <w:p w:rsidR="005809CC" w:rsidRPr="00B75F78" w:rsidRDefault="005809CC" w:rsidP="00B75F78">
      <w:pPr>
        <w:pStyle w:val="Heading5"/>
        <w:keepLines w:val="0"/>
        <w:spacing w:before="0" w:line="360" w:lineRule="auto"/>
        <w:jc w:val="center"/>
        <w:rPr>
          <w:rFonts w:ascii="Arial" w:hAnsi="Arial" w:cs="Arial"/>
          <w:bCs/>
          <w:color w:val="auto"/>
          <w:lang w:val="pt-BR" w:eastAsia="pt-BR"/>
        </w:rPr>
      </w:pPr>
      <w:r w:rsidRPr="00B75F78">
        <w:rPr>
          <w:rFonts w:ascii="Arial" w:hAnsi="Arial" w:cs="Arial"/>
          <w:bCs/>
          <w:color w:val="auto"/>
          <w:lang w:val="pt-BR" w:eastAsia="pt-BR"/>
        </w:rPr>
        <w:t>DO FLUXO DAS INFORMAÇÕES</w:t>
      </w:r>
    </w:p>
    <w:p w:rsidR="005809CC" w:rsidRPr="00C807E1" w:rsidRDefault="005809CC" w:rsidP="003615CD">
      <w:pPr>
        <w:pStyle w:val="NormalWeb"/>
        <w:spacing w:before="0" w:beforeAutospacing="0" w:after="120" w:afterAutospacing="0" w:line="360" w:lineRule="auto"/>
        <w:ind w:firstLine="567"/>
        <w:jc w:val="both"/>
        <w:textAlignment w:val="baseline"/>
        <w:rPr>
          <w:rFonts w:ascii="Arial" w:hAnsi="Arial" w:cs="Arial"/>
          <w:bCs/>
          <w:lang w:eastAsia="es-ES_tradnl"/>
        </w:rPr>
      </w:pPr>
    </w:p>
    <w:p w:rsidR="005809CC" w:rsidRPr="00C807E1" w:rsidRDefault="005809CC" w:rsidP="003615CD">
      <w:pPr>
        <w:pStyle w:val="NormalWeb"/>
        <w:spacing w:before="0" w:beforeAutospacing="0" w:after="120" w:afterAutospacing="0" w:line="360" w:lineRule="auto"/>
        <w:ind w:firstLine="567"/>
        <w:jc w:val="both"/>
        <w:textAlignment w:val="baseline"/>
        <w:rPr>
          <w:rFonts w:ascii="Arial" w:hAnsi="Arial" w:cs="Arial"/>
          <w:color w:val="000000"/>
          <w:lang w:eastAsia="en-US"/>
        </w:rPr>
      </w:pPr>
      <w:r w:rsidRPr="00C807E1">
        <w:rPr>
          <w:rFonts w:ascii="Arial" w:hAnsi="Arial" w:cs="Arial"/>
          <w:bCs/>
          <w:lang w:eastAsia="es-ES_tradnl"/>
        </w:rPr>
        <w:t>Art.</w:t>
      </w:r>
      <w:r w:rsidRPr="00C807E1">
        <w:rPr>
          <w:rFonts w:ascii="Arial" w:hAnsi="Arial" w:cs="Arial"/>
          <w:bCs/>
          <w:color w:val="000000"/>
          <w:lang w:eastAsia="en-US"/>
        </w:rPr>
        <w:t xml:space="preserve"> 16  O</w:t>
      </w:r>
      <w:r w:rsidRPr="00C807E1">
        <w:rPr>
          <w:rFonts w:ascii="Arial" w:hAnsi="Arial" w:cs="Arial"/>
          <w:color w:val="000000"/>
          <w:lang w:eastAsia="en-US"/>
        </w:rPr>
        <w:t xml:space="preserve"> Comitê Regional (CR) mobilizará os Municípios para o cumprimento do fluxo definido pelo Ministério da Saúde e aplicado pela SES</w:t>
      </w:r>
      <w:r>
        <w:rPr>
          <w:rFonts w:ascii="Arial" w:hAnsi="Arial" w:cs="Arial"/>
          <w:color w:val="000000"/>
          <w:lang w:eastAsia="en-US"/>
        </w:rPr>
        <w:t>/</w:t>
      </w:r>
      <w:r w:rsidRPr="00C807E1">
        <w:rPr>
          <w:rFonts w:ascii="Arial" w:hAnsi="Arial" w:cs="Arial"/>
          <w:color w:val="000000"/>
          <w:lang w:eastAsia="en-US"/>
        </w:rPr>
        <w:t>SC em todo estado (ver os Anexos A e B, com o demonstrativo da aplicação da Portaria nº 116 MS/SVS, de 11/02/2009).</w:t>
      </w:r>
    </w:p>
    <w:p w:rsidR="005809CC" w:rsidRPr="00C807E1" w:rsidRDefault="005809CC" w:rsidP="003615CD">
      <w:pPr>
        <w:pStyle w:val="NormalWeb"/>
        <w:spacing w:before="0" w:beforeAutospacing="0" w:after="120" w:afterAutospacing="0" w:line="360" w:lineRule="auto"/>
        <w:ind w:firstLine="567"/>
        <w:jc w:val="both"/>
        <w:textAlignment w:val="baseline"/>
        <w:rPr>
          <w:rFonts w:ascii="Arial" w:hAnsi="Arial" w:cs="Arial"/>
          <w:color w:val="000000"/>
          <w:lang w:eastAsia="en-US"/>
        </w:rPr>
      </w:pPr>
      <w:r w:rsidRPr="00C807E1">
        <w:rPr>
          <w:rFonts w:ascii="Arial" w:hAnsi="Arial" w:cs="Arial"/>
          <w:color w:val="000000"/>
          <w:lang w:eastAsia="en-US"/>
        </w:rPr>
        <w:t>Parágrafo único.  Constitui o fluxo o processamento da informação, nas diferentes instâncias e no tempo devido, sobre os nascimentos e as mortes de acordo com sua classificação.</w:t>
      </w:r>
    </w:p>
    <w:p w:rsidR="005809CC" w:rsidRPr="00C807E1" w:rsidRDefault="005809CC" w:rsidP="003615CD">
      <w:pPr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lang w:val="pt-BR" w:eastAsia="en-US"/>
        </w:rPr>
      </w:pPr>
      <w:r w:rsidRPr="00C807E1">
        <w:rPr>
          <w:rFonts w:ascii="Arial" w:hAnsi="Arial" w:cs="Arial"/>
          <w:bCs/>
          <w:lang w:val="pt-BR"/>
        </w:rPr>
        <w:t>Art.</w:t>
      </w:r>
      <w:r w:rsidRPr="00C807E1">
        <w:rPr>
          <w:rFonts w:ascii="Arial" w:hAnsi="Arial" w:cs="Arial"/>
          <w:color w:val="000000"/>
          <w:lang w:val="pt-BR" w:eastAsia="en-US"/>
        </w:rPr>
        <w:t xml:space="preserve"> 17</w:t>
      </w:r>
      <w:r w:rsidRPr="00C807E1">
        <w:rPr>
          <w:rFonts w:ascii="Arial" w:hAnsi="Arial" w:cs="Arial"/>
          <w:bCs/>
          <w:color w:val="000000"/>
          <w:lang w:val="pt-BR" w:eastAsia="en-US"/>
        </w:rPr>
        <w:t xml:space="preserve">  </w:t>
      </w:r>
      <w:r w:rsidRPr="00C807E1">
        <w:rPr>
          <w:rFonts w:ascii="Arial" w:hAnsi="Arial" w:cs="Arial"/>
          <w:color w:val="000000"/>
          <w:lang w:val="pt-BR" w:eastAsia="en-US"/>
        </w:rPr>
        <w:t>A Vigilância Epidemiológica dos Óbitos Materno, Infantil e Fetal é de competência do Município de residência, que procederá à entrevista domiciliar, autopsia verbal, investigação ambulatorial e hospitalar, de acordo com a classificação do óbito, em articulação com Núcleos de Vigilância Hospitalar, Vigilância Epidemiológica do Município de ocorrência e de outros Comitês Regionais e Estaduais;</w:t>
      </w:r>
    </w:p>
    <w:p w:rsidR="005809CC" w:rsidRPr="00C807E1" w:rsidRDefault="005809CC" w:rsidP="003615CD">
      <w:pPr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lang w:val="pt-BR" w:eastAsia="en-US"/>
        </w:rPr>
      </w:pPr>
      <w:r w:rsidRPr="00C807E1">
        <w:rPr>
          <w:rFonts w:ascii="Arial" w:hAnsi="Arial" w:cs="Arial"/>
          <w:bCs/>
          <w:lang w:val="pt-BR"/>
        </w:rPr>
        <w:t>§ 1º</w:t>
      </w:r>
      <w:r w:rsidRPr="00C807E1">
        <w:rPr>
          <w:rFonts w:ascii="Arial" w:hAnsi="Arial" w:cs="Arial"/>
          <w:color w:val="000000"/>
          <w:lang w:val="pt-BR" w:eastAsia="en-US"/>
        </w:rPr>
        <w:t xml:space="preserve">  O total dos seguintes eventos devem ser investigados:</w:t>
      </w:r>
    </w:p>
    <w:p w:rsidR="005809CC" w:rsidRPr="00C807E1" w:rsidRDefault="005809CC" w:rsidP="003615CD">
      <w:pPr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lang w:val="pt-BR" w:eastAsia="en-US"/>
        </w:rPr>
      </w:pPr>
      <w:r w:rsidRPr="00C807E1">
        <w:rPr>
          <w:rFonts w:ascii="Arial" w:hAnsi="Arial" w:cs="Arial"/>
          <w:color w:val="000000"/>
          <w:lang w:val="pt-BR" w:eastAsia="en-US"/>
        </w:rPr>
        <w:t xml:space="preserve">I - óbito </w:t>
      </w:r>
      <w:r>
        <w:rPr>
          <w:rFonts w:ascii="Arial" w:hAnsi="Arial" w:cs="Arial"/>
          <w:color w:val="000000"/>
          <w:lang w:val="pt-BR" w:eastAsia="en-US"/>
        </w:rPr>
        <w:t>de mulheres em idade fértil -</w:t>
      </w:r>
      <w:r w:rsidRPr="00C807E1">
        <w:rPr>
          <w:rFonts w:ascii="Arial" w:hAnsi="Arial" w:cs="Arial"/>
          <w:color w:val="000000"/>
          <w:lang w:val="pt-BR" w:eastAsia="en-US"/>
        </w:rPr>
        <w:t xml:space="preserve"> 10 (dez) a 49 (quarenta e nove) anos </w:t>
      </w:r>
      <w:r>
        <w:rPr>
          <w:rFonts w:ascii="Arial" w:hAnsi="Arial" w:cs="Arial"/>
          <w:color w:val="000000"/>
          <w:lang w:val="pt-BR" w:eastAsia="en-US"/>
        </w:rPr>
        <w:t>-</w:t>
      </w:r>
      <w:r w:rsidRPr="00C807E1">
        <w:rPr>
          <w:rFonts w:ascii="Arial" w:hAnsi="Arial" w:cs="Arial"/>
          <w:color w:val="000000"/>
          <w:lang w:val="pt-BR" w:eastAsia="en-US"/>
        </w:rPr>
        <w:t>, seja declarado materno ou não;</w:t>
      </w:r>
    </w:p>
    <w:p w:rsidR="005809CC" w:rsidRPr="00C807E1" w:rsidRDefault="005809CC" w:rsidP="003615CD">
      <w:pPr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lang w:val="pt-BR" w:eastAsia="en-US"/>
        </w:rPr>
      </w:pPr>
      <w:r w:rsidRPr="003F7E27">
        <w:rPr>
          <w:rFonts w:ascii="Arial" w:hAnsi="Arial" w:cs="Arial"/>
          <w:color w:val="000000"/>
          <w:lang w:val="pt-BR" w:eastAsia="en-US"/>
        </w:rPr>
        <w:t xml:space="preserve">II - óbito fetal e neonatal - peso ao nascer ≥ </w:t>
      </w:r>
      <w:smartTag w:uri="urn:schemas-microsoft-com:office:smarttags" w:element="metricconverter">
        <w:smartTagPr>
          <w:attr w:name="ProductID" w:val="500 g"/>
        </w:smartTagPr>
        <w:r w:rsidRPr="003F7E27">
          <w:rPr>
            <w:rFonts w:ascii="Arial" w:hAnsi="Arial" w:cs="Arial"/>
            <w:color w:val="000000"/>
            <w:lang w:val="pt-BR" w:eastAsia="en-US"/>
          </w:rPr>
          <w:t>500 g</w:t>
        </w:r>
      </w:smartTag>
      <w:r w:rsidRPr="003F7E27">
        <w:rPr>
          <w:rFonts w:ascii="Arial" w:hAnsi="Arial" w:cs="Arial"/>
          <w:color w:val="000000"/>
          <w:lang w:val="pt-BR" w:eastAsia="en-US"/>
        </w:rPr>
        <w:t>;</w:t>
      </w:r>
    </w:p>
    <w:p w:rsidR="005809CC" w:rsidRDefault="005809CC" w:rsidP="003615CD">
      <w:pPr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lang w:val="pt-BR" w:eastAsia="en-US"/>
        </w:rPr>
      </w:pPr>
      <w:r w:rsidRPr="00C807E1">
        <w:rPr>
          <w:rFonts w:ascii="Arial" w:hAnsi="Arial" w:cs="Arial"/>
          <w:color w:val="000000"/>
          <w:lang w:val="pt-BR" w:eastAsia="en-US"/>
        </w:rPr>
        <w:t>III - óbito infantil {em menores de 1 (um) ano}.</w:t>
      </w:r>
    </w:p>
    <w:p w:rsidR="005809CC" w:rsidRPr="00C807E1" w:rsidRDefault="005809CC" w:rsidP="003615CD">
      <w:pPr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lang w:val="pt-BR" w:eastAsia="en-US"/>
        </w:rPr>
      </w:pPr>
      <w:r w:rsidRPr="00C807E1">
        <w:rPr>
          <w:rFonts w:ascii="Arial" w:hAnsi="Arial" w:cs="Arial"/>
          <w:bCs/>
          <w:lang w:val="pt-BR"/>
        </w:rPr>
        <w:t xml:space="preserve">§ 2º Para efeito do parágrafo anterior, deverão ser considerados </w:t>
      </w:r>
      <w:r w:rsidRPr="00C807E1">
        <w:rPr>
          <w:rFonts w:ascii="Arial" w:hAnsi="Arial" w:cs="Arial"/>
          <w:color w:val="000000"/>
          <w:lang w:val="pt-BR" w:eastAsia="en-US"/>
        </w:rPr>
        <w:t xml:space="preserve">aqueles com idade gestacional de 22 semanas (154 dias) de gestação ou mais, quando não se dispuser de informações sobre o peso ao nascer, e aqueles com comprimento corpóreo de </w:t>
      </w:r>
      <w:smartTag w:uri="urn:schemas-microsoft-com:office:smarttags" w:element="metricconverter">
        <w:smartTagPr>
          <w:attr w:name="ProductID" w:val="25 cm"/>
        </w:smartTagPr>
        <w:r w:rsidRPr="00C807E1">
          <w:rPr>
            <w:rFonts w:ascii="Arial" w:hAnsi="Arial" w:cs="Arial"/>
            <w:color w:val="000000"/>
            <w:lang w:val="pt-BR" w:eastAsia="en-US"/>
          </w:rPr>
          <w:t>25 cm</w:t>
        </w:r>
      </w:smartTag>
      <w:r w:rsidRPr="00C807E1">
        <w:rPr>
          <w:rFonts w:ascii="Arial" w:hAnsi="Arial" w:cs="Arial"/>
          <w:color w:val="000000"/>
          <w:lang w:val="pt-BR" w:eastAsia="en-US"/>
        </w:rPr>
        <w:t xml:space="preserve"> cabeça/calcanhar ou mais, quando não se dispuser de informações sobre o peso ao nascer </w:t>
      </w:r>
      <w:r w:rsidRPr="00A66169">
        <w:rPr>
          <w:rFonts w:ascii="Arial" w:hAnsi="Arial" w:cs="Arial"/>
          <w:color w:val="000000"/>
          <w:lang w:val="pt-BR" w:eastAsia="en-US"/>
        </w:rPr>
        <w:t>e</w:t>
      </w:r>
      <w:r w:rsidRPr="00C807E1">
        <w:rPr>
          <w:rFonts w:ascii="Arial" w:hAnsi="Arial" w:cs="Arial"/>
          <w:color w:val="000000"/>
          <w:lang w:val="pt-BR" w:eastAsia="en-US"/>
        </w:rPr>
        <w:t xml:space="preserve"> idade gestacional.</w:t>
      </w:r>
      <w:r w:rsidRPr="00C807E1">
        <w:rPr>
          <w:rStyle w:val="FootnoteReference"/>
          <w:rFonts w:ascii="Arial" w:hAnsi="Arial" w:cs="Arial"/>
          <w:color w:val="000000"/>
          <w:lang w:val="pt-BR" w:eastAsia="en-US"/>
        </w:rPr>
        <w:t xml:space="preserve"> </w:t>
      </w:r>
      <w:r w:rsidRPr="00C807E1">
        <w:rPr>
          <w:rStyle w:val="FootnoteReference"/>
          <w:rFonts w:ascii="Arial" w:hAnsi="Arial" w:cs="Arial"/>
          <w:color w:val="000000"/>
          <w:lang w:val="pt-BR" w:eastAsia="en-US"/>
        </w:rPr>
        <w:footnoteReference w:id="1"/>
      </w:r>
    </w:p>
    <w:p w:rsidR="005809CC" w:rsidRPr="00C807E1" w:rsidRDefault="005809CC" w:rsidP="003615CD">
      <w:pPr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lang w:val="pt-BR" w:eastAsia="en-US"/>
        </w:rPr>
      </w:pPr>
      <w:r w:rsidRPr="00C807E1">
        <w:rPr>
          <w:rFonts w:ascii="Arial" w:hAnsi="Arial" w:cs="Arial"/>
          <w:bCs/>
          <w:lang w:val="pt-BR"/>
        </w:rPr>
        <w:t>§ 3º</w:t>
      </w:r>
      <w:r w:rsidRPr="00C807E1">
        <w:rPr>
          <w:rFonts w:ascii="Arial" w:hAnsi="Arial" w:cs="Arial"/>
          <w:color w:val="000000"/>
          <w:lang w:val="pt-BR" w:eastAsia="en-US"/>
        </w:rPr>
        <w:t xml:space="preserve"> O Município será responsável pela investigação do óbito no próprio Município e em todo território nacional, devendo ser investigado na instituição da ocorrência do óbito, por meio de telefone, e-mail ou ofício, podendo ser solicitado apoio de Comitê Municipal, Regional ou Estadual, quando se tratar de óbito de um integrante da população do Município.</w:t>
      </w:r>
    </w:p>
    <w:p w:rsidR="005809CC" w:rsidRPr="00C807E1" w:rsidRDefault="005809CC" w:rsidP="003615CD">
      <w:pPr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lang w:val="pt-BR" w:eastAsia="en-US"/>
        </w:rPr>
      </w:pPr>
      <w:r w:rsidRPr="00C807E1">
        <w:rPr>
          <w:rFonts w:ascii="Arial" w:hAnsi="Arial" w:cs="Arial"/>
          <w:bCs/>
          <w:lang w:val="pt-BR"/>
        </w:rPr>
        <w:t>§ 4º</w:t>
      </w:r>
      <w:r w:rsidRPr="00C807E1">
        <w:rPr>
          <w:rFonts w:ascii="Arial" w:hAnsi="Arial" w:cs="Arial"/>
          <w:color w:val="000000"/>
          <w:lang w:val="pt-BR" w:eastAsia="en-US"/>
        </w:rPr>
        <w:t xml:space="preserve">  A Vigilância Epidemiológica dos Óbitos Materno, Infantil e Fetal realizada poderá ser complementada por solicitação do Município ao Comitê Regional ou por definição do colegiado do Comitê Regional, o qual poderá, inclusive, remeter nova solicitação ao Coordenador do CEPOMIF.</w:t>
      </w:r>
    </w:p>
    <w:p w:rsidR="005809CC" w:rsidRPr="00E716D8" w:rsidRDefault="005809CC" w:rsidP="00E716D8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bCs/>
          <w:szCs w:val="24"/>
          <w:lang w:eastAsia="es-ES_tradnl"/>
        </w:rPr>
      </w:pPr>
    </w:p>
    <w:p w:rsidR="005809CC" w:rsidRPr="00E716D8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bCs/>
          <w:szCs w:val="24"/>
          <w:lang w:eastAsia="es-ES_tradnl"/>
        </w:rPr>
      </w:pPr>
    </w:p>
    <w:p w:rsidR="005809CC" w:rsidRPr="00B75F78" w:rsidRDefault="005809CC" w:rsidP="00B75F78">
      <w:pPr>
        <w:pStyle w:val="Heading5"/>
        <w:keepLines w:val="0"/>
        <w:spacing w:before="0" w:line="360" w:lineRule="auto"/>
        <w:jc w:val="center"/>
        <w:rPr>
          <w:rFonts w:ascii="Arial" w:hAnsi="Arial" w:cs="Arial"/>
          <w:bCs/>
          <w:color w:val="auto"/>
          <w:lang w:val="pt-BR" w:eastAsia="pt-BR"/>
        </w:rPr>
      </w:pPr>
      <w:r w:rsidRPr="00B75F78">
        <w:rPr>
          <w:rFonts w:ascii="Arial" w:hAnsi="Arial" w:cs="Arial"/>
          <w:bCs/>
          <w:color w:val="auto"/>
          <w:lang w:val="pt-BR" w:eastAsia="pt-BR"/>
        </w:rPr>
        <w:t>TÍTULO VII</w:t>
      </w:r>
    </w:p>
    <w:p w:rsidR="005809CC" w:rsidRPr="00B75F78" w:rsidRDefault="005809CC" w:rsidP="00B75F78">
      <w:pPr>
        <w:pStyle w:val="Heading5"/>
        <w:keepLines w:val="0"/>
        <w:spacing w:before="0" w:line="360" w:lineRule="auto"/>
        <w:jc w:val="center"/>
        <w:rPr>
          <w:rFonts w:ascii="Arial" w:hAnsi="Arial" w:cs="Arial"/>
          <w:bCs/>
          <w:color w:val="auto"/>
          <w:lang w:val="pt-BR" w:eastAsia="pt-BR"/>
        </w:rPr>
      </w:pPr>
      <w:r w:rsidRPr="00B75F78">
        <w:rPr>
          <w:rFonts w:ascii="Arial" w:hAnsi="Arial" w:cs="Arial"/>
          <w:bCs/>
          <w:color w:val="auto"/>
          <w:lang w:val="pt-BR" w:eastAsia="pt-BR"/>
        </w:rPr>
        <w:t>DAS DISPOSIÇÕES GERAIS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bCs/>
          <w:szCs w:val="24"/>
          <w:lang w:eastAsia="es-ES_tradnl"/>
        </w:rPr>
        <w:t>Art. 18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É considerado como relevante serviço público o trabalho do Coordenador, do </w:t>
      </w:r>
      <w:bookmarkStart w:id="0" w:name="_GoBack"/>
      <w:bookmarkEnd w:id="0"/>
      <w:r w:rsidRPr="00C807E1">
        <w:rPr>
          <w:rFonts w:ascii="Arial" w:hAnsi="Arial" w:cs="Arial"/>
          <w:color w:val="000000"/>
          <w:szCs w:val="24"/>
          <w:lang w:eastAsia="en-US"/>
        </w:rPr>
        <w:t>Vice-Coordenador e dos membros do Comitê, não gerando direito ou expectativa de direito, quanto à vínculo empregatício, remuneração ou outros direitos.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bCs/>
          <w:szCs w:val="24"/>
          <w:lang w:eastAsia="es-ES_tradnl"/>
        </w:rPr>
        <w:t>Art. 19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Os casos omissos neste Regimento Interno serão discutidos e resolvidos pelo Comitê Regional, primeiramente, e com o suporte técnico do CEPOMIF, de modo complementar.</w:t>
      </w: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 xml:space="preserve">Parágrafo único.  Para todas as situações que não forem passíveis de solução no âmbito do Comitê Regional, mesmo após a complementação do Comitê Estadual – CEPOMIF, haverá abertura de processo interno para análise e orientação da Procuradoria Jurídica e de outras instâncias administrativas da SES/SC. </w:t>
      </w:r>
    </w:p>
    <w:p w:rsidR="005809CC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Art.</w:t>
      </w:r>
      <w:r>
        <w:rPr>
          <w:rFonts w:ascii="Arial" w:hAnsi="Arial" w:cs="Arial"/>
          <w:color w:val="000000"/>
          <w:szCs w:val="24"/>
          <w:lang w:eastAsia="en-US"/>
        </w:rPr>
        <w:t xml:space="preserve"> </w:t>
      </w:r>
      <w:r w:rsidRPr="00C807E1">
        <w:rPr>
          <w:rFonts w:ascii="Arial" w:hAnsi="Arial" w:cs="Arial"/>
          <w:color w:val="000000"/>
          <w:szCs w:val="24"/>
          <w:lang w:eastAsia="en-US"/>
        </w:rPr>
        <w:t>20 Os integrantes dos Comitês Regionais não responderão diretamente às demandas judiciais em relação aos casos analisados de óbitos materno, infantil e fetal;</w:t>
      </w:r>
    </w:p>
    <w:p w:rsidR="005809CC" w:rsidRPr="00C807E1" w:rsidRDefault="005809CC" w:rsidP="005B6314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Parágrafo único: todas as demandas judiciais deverão ser encaminhadas ao CEPOMIF para os procedimentos devidos conforme Artigo 25 de seu Regimento.</w:t>
      </w:r>
    </w:p>
    <w:p w:rsidR="005809CC" w:rsidRPr="00C807E1" w:rsidRDefault="005809CC" w:rsidP="005A67BA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</w:p>
    <w:p w:rsidR="005809CC" w:rsidRPr="00C807E1" w:rsidRDefault="005809CC" w:rsidP="003615CD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>Art. 21  Este Regimento somente poderá ser alterado depois de decorrido um ano de sua aplicação, e mediante solicitação de dois terços dos membros do Comitê Regional e com aprovação desta solicitação pelo CEPOMIF, em reunião agendada com finalidade previamente declarada e cujo instrumento da comunicação tenha sido recebido pelo destinatário, juntado o correspondente comprovante emitido pelos Correios, admitida outra prova material.</w:t>
      </w:r>
    </w:p>
    <w:p w:rsidR="005809CC" w:rsidRPr="00C807E1" w:rsidRDefault="005809CC" w:rsidP="002B1783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bCs/>
          <w:szCs w:val="24"/>
          <w:lang w:eastAsia="es-ES_tradnl"/>
        </w:rPr>
        <w:t>Art. 22</w:t>
      </w:r>
      <w:r>
        <w:rPr>
          <w:rFonts w:ascii="Arial" w:hAnsi="Arial" w:cs="Arial"/>
          <w:bCs/>
          <w:szCs w:val="24"/>
          <w:lang w:eastAsia="es-ES_tradnl"/>
        </w:rPr>
        <w:t xml:space="preserve"> </w:t>
      </w:r>
      <w:r w:rsidRPr="00C807E1">
        <w:rPr>
          <w:rFonts w:ascii="Arial" w:hAnsi="Arial" w:cs="Arial"/>
          <w:color w:val="000000"/>
          <w:szCs w:val="24"/>
          <w:lang w:eastAsia="en-US"/>
        </w:rPr>
        <w:t xml:space="preserve"> Este Regimento entrará em vigor na data de sua publicação no Diário Oficial do Estado de Santa Catarina.</w:t>
      </w:r>
    </w:p>
    <w:p w:rsidR="005809CC" w:rsidRPr="00C807E1" w:rsidRDefault="005809CC" w:rsidP="002B1783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</w:p>
    <w:p w:rsidR="005809CC" w:rsidRDefault="005809CC" w:rsidP="00E716D8">
      <w:pPr>
        <w:pStyle w:val="Header"/>
        <w:autoSpaceDE w:val="0"/>
        <w:autoSpaceDN w:val="0"/>
        <w:adjustRightInd w:val="0"/>
        <w:spacing w:after="120" w:line="360" w:lineRule="auto"/>
        <w:ind w:firstLine="567"/>
        <w:rPr>
          <w:rFonts w:ascii="Arial" w:hAnsi="Arial" w:cs="Arial"/>
          <w:color w:val="000000"/>
          <w:szCs w:val="24"/>
          <w:lang w:eastAsia="en-US"/>
        </w:rPr>
      </w:pPr>
      <w:r w:rsidRPr="00C807E1">
        <w:rPr>
          <w:rFonts w:ascii="Arial" w:hAnsi="Arial" w:cs="Arial"/>
          <w:color w:val="000000"/>
          <w:szCs w:val="24"/>
          <w:lang w:eastAsia="en-US"/>
        </w:rPr>
        <w:t xml:space="preserve">Florianópolis, </w:t>
      </w:r>
      <w:r w:rsidRPr="00C807E1">
        <w:rPr>
          <w:rFonts w:ascii="Arial" w:hAnsi="Arial" w:cs="Arial"/>
          <w:color w:val="000000"/>
          <w:szCs w:val="24"/>
          <w:highlight w:val="yellow"/>
          <w:lang w:eastAsia="en-US"/>
        </w:rPr>
        <w:t>data da aprovação</w:t>
      </w:r>
    </w:p>
    <w:p w:rsidR="005809CC" w:rsidRPr="00C807E1" w:rsidRDefault="005809CC" w:rsidP="00E716D8">
      <w:pPr>
        <w:pStyle w:val="Header"/>
        <w:autoSpaceDE w:val="0"/>
        <w:autoSpaceDN w:val="0"/>
        <w:adjustRightInd w:val="0"/>
        <w:spacing w:after="120" w:line="360" w:lineRule="auto"/>
        <w:ind w:firstLine="567"/>
        <w:rPr>
          <w:rFonts w:ascii="Arial" w:hAnsi="Arial" w:cs="Arial"/>
          <w:color w:val="000000"/>
          <w:szCs w:val="24"/>
          <w:lang w:eastAsia="en-US"/>
        </w:rPr>
      </w:pPr>
    </w:p>
    <w:p w:rsidR="005809CC" w:rsidRPr="00C807E1" w:rsidRDefault="005809CC" w:rsidP="00833FC8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right"/>
        <w:rPr>
          <w:rFonts w:ascii="Arial" w:hAnsi="Arial" w:cs="Arial"/>
          <w:sz w:val="20"/>
        </w:rPr>
      </w:pPr>
      <w:r w:rsidRPr="00C807E1">
        <w:rPr>
          <w:rFonts w:ascii="Arial" w:hAnsi="Arial" w:cs="Arial"/>
          <w:sz w:val="20"/>
        </w:rPr>
        <w:br w:type="page"/>
      </w:r>
    </w:p>
    <w:p w:rsidR="005809CC" w:rsidRPr="00C807E1" w:rsidRDefault="005809CC" w:rsidP="006C5549">
      <w:pPr>
        <w:widowControl w:val="0"/>
        <w:autoSpaceDE w:val="0"/>
        <w:autoSpaceDN w:val="0"/>
        <w:adjustRightInd w:val="0"/>
        <w:spacing w:after="120" w:line="360" w:lineRule="auto"/>
        <w:ind w:firstLine="567"/>
        <w:jc w:val="center"/>
        <w:rPr>
          <w:rFonts w:ascii="Arial" w:hAnsi="Arial" w:cs="Arial"/>
          <w:b/>
          <w:sz w:val="28"/>
          <w:szCs w:val="28"/>
          <w:lang w:val="pt-BR"/>
        </w:rPr>
      </w:pPr>
      <w:r w:rsidRPr="00C807E1">
        <w:rPr>
          <w:rFonts w:ascii="Arial" w:hAnsi="Arial" w:cs="Arial"/>
          <w:b/>
          <w:sz w:val="28"/>
          <w:szCs w:val="28"/>
          <w:lang w:val="pt-BR"/>
        </w:rPr>
        <w:t>ANEXO A</w:t>
      </w:r>
    </w:p>
    <w:p w:rsidR="005809CC" w:rsidRPr="00C807E1" w:rsidRDefault="005809CC" w:rsidP="006C5549">
      <w:pPr>
        <w:widowControl w:val="0"/>
        <w:spacing w:after="200" w:line="276" w:lineRule="auto"/>
        <w:rPr>
          <w:rFonts w:ascii="Arial" w:hAnsi="Arial" w:cs="Arial"/>
          <w:sz w:val="20"/>
          <w:szCs w:val="20"/>
          <w:lang w:val="pt-BR"/>
        </w:rPr>
      </w:pPr>
      <w:r w:rsidRPr="00B46023">
        <w:rPr>
          <w:rFonts w:ascii="Arial" w:hAnsi="Arial" w:cs="Arial"/>
          <w:noProof/>
          <w:sz w:val="20"/>
          <w:szCs w:val="20"/>
          <w:lang w:val="pt-BR" w:eastAsia="pt-BR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m 10" o:spid="_x0000_i1025" type="#_x0000_t75" alt="Slide1.JPG" style="width:453.75pt;height:655.5pt;visibility:visible">
            <v:imagedata r:id="rId7" o:title=""/>
          </v:shape>
        </w:pict>
      </w:r>
      <w:r w:rsidRPr="00B46023">
        <w:rPr>
          <w:rFonts w:ascii="Arial" w:hAnsi="Arial" w:cs="Arial"/>
          <w:noProof/>
          <w:sz w:val="20"/>
          <w:szCs w:val="20"/>
          <w:lang w:val="pt-BR" w:eastAsia="pt-BR"/>
        </w:rPr>
        <w:pict>
          <v:shape id="Imagem 11" o:spid="_x0000_i1026" type="#_x0000_t75" alt="Slide2.JPG" style="width:453.75pt;height:655.5pt;visibility:visible">
            <v:imagedata r:id="rId8" o:title=""/>
          </v:shape>
        </w:pict>
      </w:r>
      <w:r w:rsidRPr="00B46023">
        <w:rPr>
          <w:rFonts w:ascii="Arial" w:hAnsi="Arial" w:cs="Arial"/>
          <w:noProof/>
          <w:sz w:val="20"/>
          <w:szCs w:val="20"/>
          <w:lang w:val="pt-BR" w:eastAsia="pt-BR"/>
        </w:rPr>
        <w:pict>
          <v:shape id="Imagem 12" o:spid="_x0000_i1027" type="#_x0000_t75" alt="Slide3.JPG" style="width:453.75pt;height:655.5pt;visibility:visible">
            <v:imagedata r:id="rId9" o:title=""/>
          </v:shape>
        </w:pict>
      </w:r>
      <w:r w:rsidRPr="00B46023">
        <w:rPr>
          <w:rFonts w:ascii="Arial" w:hAnsi="Arial" w:cs="Arial"/>
          <w:noProof/>
          <w:sz w:val="20"/>
          <w:szCs w:val="20"/>
          <w:lang w:val="pt-BR" w:eastAsia="pt-BR"/>
        </w:rPr>
        <w:pict>
          <v:shape id="Imagem 13" o:spid="_x0000_i1028" type="#_x0000_t75" alt="Slide4.JPG" style="width:453.75pt;height:655.5pt;visibility:visible">
            <v:imagedata r:id="rId10" o:title=""/>
          </v:shape>
        </w:pict>
      </w:r>
      <w:r w:rsidRPr="00B46023">
        <w:rPr>
          <w:rFonts w:ascii="Arial" w:hAnsi="Arial" w:cs="Arial"/>
          <w:noProof/>
          <w:sz w:val="20"/>
          <w:szCs w:val="20"/>
          <w:lang w:val="pt-BR" w:eastAsia="pt-BR"/>
        </w:rPr>
        <w:pict>
          <v:shape id="Imagem 14" o:spid="_x0000_i1029" type="#_x0000_t75" alt="Slide5.JPG" style="width:453.75pt;height:678.75pt;visibility:visible">
            <v:imagedata r:id="rId11" o:title=""/>
          </v:shape>
        </w:pict>
      </w:r>
    </w:p>
    <w:p w:rsidR="005809CC" w:rsidRDefault="005809CC" w:rsidP="006C5549">
      <w:pPr>
        <w:widowControl w:val="0"/>
        <w:autoSpaceDE w:val="0"/>
        <w:autoSpaceDN w:val="0"/>
        <w:adjustRightInd w:val="0"/>
        <w:spacing w:after="120" w:line="360" w:lineRule="auto"/>
        <w:ind w:firstLine="567"/>
        <w:jc w:val="center"/>
        <w:rPr>
          <w:rFonts w:ascii="Arial" w:hAnsi="Arial" w:cs="Arial"/>
          <w:b/>
          <w:sz w:val="28"/>
          <w:szCs w:val="28"/>
          <w:lang w:val="pt-BR"/>
        </w:rPr>
      </w:pPr>
      <w:r w:rsidRPr="00C807E1">
        <w:rPr>
          <w:rFonts w:ascii="Arial" w:hAnsi="Arial" w:cs="Arial"/>
          <w:b/>
          <w:sz w:val="28"/>
          <w:szCs w:val="28"/>
          <w:lang w:val="pt-BR"/>
        </w:rPr>
        <w:t>ANEXO B</w:t>
      </w:r>
    </w:p>
    <w:p w:rsidR="005809CC" w:rsidRPr="00C807E1" w:rsidRDefault="005809CC" w:rsidP="006C5549">
      <w:pPr>
        <w:widowControl w:val="0"/>
        <w:autoSpaceDE w:val="0"/>
        <w:autoSpaceDN w:val="0"/>
        <w:adjustRightInd w:val="0"/>
        <w:spacing w:after="120" w:line="360" w:lineRule="auto"/>
        <w:ind w:firstLine="567"/>
        <w:jc w:val="center"/>
        <w:rPr>
          <w:rFonts w:ascii="Arial" w:hAnsi="Arial" w:cs="Arial"/>
          <w:b/>
          <w:sz w:val="28"/>
          <w:szCs w:val="28"/>
          <w:lang w:val="pt-BR"/>
        </w:rPr>
      </w:pPr>
    </w:p>
    <w:p w:rsidR="005809CC" w:rsidRPr="00C807E1" w:rsidRDefault="005809CC" w:rsidP="006C5549">
      <w:pPr>
        <w:widowControl w:val="0"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sz w:val="20"/>
          <w:szCs w:val="20"/>
          <w:lang w:val="pt-BR"/>
        </w:rPr>
      </w:pPr>
      <w:r w:rsidRPr="00B46023">
        <w:rPr>
          <w:rFonts w:ascii="Arial" w:hAnsi="Arial" w:cs="Arial"/>
          <w:noProof/>
          <w:sz w:val="20"/>
          <w:szCs w:val="20"/>
          <w:lang w:val="pt-BR" w:eastAsia="pt-BR"/>
        </w:rPr>
        <w:pict>
          <v:shape id="Imagem 15" o:spid="_x0000_i1030" type="#_x0000_t75" alt="Slide1.JPG" style="width:453.75pt;height:655.5pt;visibility:visible">
            <v:imagedata r:id="rId12" o:title=""/>
          </v:shape>
        </w:pict>
      </w:r>
      <w:r w:rsidRPr="00B46023">
        <w:rPr>
          <w:rFonts w:ascii="Arial" w:hAnsi="Arial" w:cs="Arial"/>
          <w:noProof/>
          <w:sz w:val="20"/>
          <w:szCs w:val="20"/>
          <w:lang w:val="pt-BR" w:eastAsia="pt-BR"/>
        </w:rPr>
        <w:pict>
          <v:shape id="Imagem 16" o:spid="_x0000_i1031" type="#_x0000_t75" alt="Slide2.JPG" style="width:453.75pt;height:655.5pt;visibility:visible">
            <v:imagedata r:id="rId13" o:title=""/>
          </v:shape>
        </w:pict>
      </w:r>
    </w:p>
    <w:sectPr w:rsidR="005809CC" w:rsidRPr="00C807E1" w:rsidSect="00C807E1">
      <w:headerReference w:type="default" r:id="rId14"/>
      <w:pgSz w:w="11907" w:h="16840" w:code="9"/>
      <w:pgMar w:top="1701" w:right="1134" w:bottom="1134" w:left="1701" w:header="720" w:footer="720" w:gutter="0"/>
      <w:cols w:space="720"/>
      <w:noEndnote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09CC" w:rsidRDefault="005809CC" w:rsidP="00D905DA">
      <w:r>
        <w:separator/>
      </w:r>
    </w:p>
  </w:endnote>
  <w:endnote w:type="continuationSeparator" w:id="0">
    <w:p w:rsidR="005809CC" w:rsidRDefault="005809CC" w:rsidP="00D905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09CC" w:rsidRDefault="005809CC" w:rsidP="00D905DA">
      <w:r>
        <w:separator/>
      </w:r>
    </w:p>
  </w:footnote>
  <w:footnote w:type="continuationSeparator" w:id="0">
    <w:p w:rsidR="005809CC" w:rsidRDefault="005809CC" w:rsidP="00D905DA">
      <w:r>
        <w:continuationSeparator/>
      </w:r>
    </w:p>
  </w:footnote>
  <w:footnote w:id="1">
    <w:p w:rsidR="005809CC" w:rsidRDefault="005809CC" w:rsidP="00E716D8">
      <w:pPr>
        <w:pStyle w:val="FootnoteText"/>
        <w:ind w:left="142" w:hanging="142"/>
        <w:jc w:val="both"/>
      </w:pPr>
      <w:r>
        <w:rPr>
          <w:rStyle w:val="FootnoteReference"/>
        </w:rPr>
        <w:footnoteRef/>
      </w:r>
      <w:r w:rsidRPr="00E716D8">
        <w:rPr>
          <w:rFonts w:ascii="Arial" w:hAnsi="Arial" w:cs="Arial"/>
          <w:sz w:val="18"/>
          <w:szCs w:val="18"/>
          <w:lang w:val="pt-BR"/>
        </w:rPr>
        <w:t xml:space="preserve"> BRASIL. Ministério da Saúde. Portaria nº 072/2010, de 11 de janeiro de 2010. Estabelece que a vigilância do óbito infantil e fetal é obrigatória nos serviços de saúde (públicos e privados) que integram o Sistema Único de Saúde (SUS). </w:t>
      </w:r>
      <w:r w:rsidRPr="00E716D8">
        <w:rPr>
          <w:rFonts w:ascii="Arial" w:hAnsi="Arial" w:cs="Arial"/>
          <w:sz w:val="18"/>
          <w:szCs w:val="18"/>
        </w:rPr>
        <w:t xml:space="preserve">Brasília, </w:t>
      </w:r>
      <w:r w:rsidRPr="00E716D8">
        <w:rPr>
          <w:rFonts w:ascii="Arial" w:hAnsi="Arial" w:cs="Arial"/>
          <w:b/>
          <w:sz w:val="18"/>
          <w:szCs w:val="18"/>
        </w:rPr>
        <w:t>DOU</w:t>
      </w:r>
      <w:r w:rsidRPr="00E716D8">
        <w:rPr>
          <w:rFonts w:ascii="Arial" w:hAnsi="Arial" w:cs="Arial"/>
          <w:sz w:val="18"/>
          <w:szCs w:val="18"/>
        </w:rPr>
        <w:t>, nº 7, p. 29, de 12 de janeiro de 2010.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9CC" w:rsidRDefault="005809CC">
    <w:pPr>
      <w:pStyle w:val="Header"/>
      <w:jc w:val="right"/>
    </w:pPr>
    <w:fldSimple w:instr=" PAGE   \* MERGEFORMAT ">
      <w:r>
        <w:rPr>
          <w:noProof/>
        </w:rPr>
        <w:t>8</w:t>
      </w:r>
    </w:fldSimple>
  </w:p>
  <w:p w:rsidR="005809CC" w:rsidRDefault="005809C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D0F07"/>
    <w:multiLevelType w:val="hybridMultilevel"/>
    <w:tmpl w:val="5DC6FAA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6C79D6"/>
    <w:multiLevelType w:val="hybridMultilevel"/>
    <w:tmpl w:val="F476DF04"/>
    <w:lvl w:ilvl="0" w:tplc="BD8AF0C2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813723"/>
    <w:multiLevelType w:val="hybridMultilevel"/>
    <w:tmpl w:val="7A8A8530"/>
    <w:lvl w:ilvl="0" w:tplc="1F38E6CA">
      <w:start w:val="1"/>
      <w:numFmt w:val="bullet"/>
      <w:lvlText w:val="-"/>
      <w:lvlJc w:val="left"/>
      <w:pPr>
        <w:ind w:left="644" w:hanging="360"/>
      </w:pPr>
      <w:rPr>
        <w:rFonts w:ascii="Verdana" w:eastAsia="Times New Roman" w:hAnsi="Verdana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>
    <w:nsid w:val="0E243614"/>
    <w:multiLevelType w:val="hybridMultilevel"/>
    <w:tmpl w:val="8BF24A44"/>
    <w:lvl w:ilvl="0" w:tplc="13B2FA80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4">
    <w:nsid w:val="103D335E"/>
    <w:multiLevelType w:val="hybridMultilevel"/>
    <w:tmpl w:val="CD667B30"/>
    <w:lvl w:ilvl="0" w:tplc="0416000F">
      <w:start w:val="1"/>
      <w:numFmt w:val="decimal"/>
      <w:lvlText w:val="%1."/>
      <w:lvlJc w:val="left"/>
      <w:pPr>
        <w:ind w:left="1038" w:hanging="360"/>
      </w:pPr>
      <w:rPr>
        <w:rFonts w:cs="Times New Roman"/>
      </w:rPr>
    </w:lvl>
    <w:lvl w:ilvl="1" w:tplc="04160019" w:tentative="1">
      <w:start w:val="1"/>
      <w:numFmt w:val="lowerLetter"/>
      <w:lvlText w:val="%2."/>
      <w:lvlJc w:val="left"/>
      <w:pPr>
        <w:ind w:left="1758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478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3198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918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638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358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6078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798" w:hanging="180"/>
      </w:pPr>
      <w:rPr>
        <w:rFonts w:cs="Times New Roman"/>
      </w:rPr>
    </w:lvl>
  </w:abstractNum>
  <w:abstractNum w:abstractNumId="5">
    <w:nsid w:val="12393766"/>
    <w:multiLevelType w:val="hybridMultilevel"/>
    <w:tmpl w:val="C7CC74FC"/>
    <w:lvl w:ilvl="0" w:tplc="388CC874">
      <w:start w:val="1"/>
      <w:numFmt w:val="decimal"/>
      <w:lvlText w:val="%1)"/>
      <w:lvlJc w:val="left"/>
      <w:pPr>
        <w:ind w:left="1776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2496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3216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3936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4656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5376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6096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6816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7536" w:hanging="180"/>
      </w:pPr>
      <w:rPr>
        <w:rFonts w:cs="Times New Roman"/>
      </w:rPr>
    </w:lvl>
  </w:abstractNum>
  <w:abstractNum w:abstractNumId="6">
    <w:nsid w:val="125E6237"/>
    <w:multiLevelType w:val="hybridMultilevel"/>
    <w:tmpl w:val="21F6565C"/>
    <w:lvl w:ilvl="0" w:tplc="CFDA9D68">
      <w:start w:val="1"/>
      <w:numFmt w:val="decimal"/>
      <w:lvlText w:val="%1."/>
      <w:lvlJc w:val="left"/>
      <w:pPr>
        <w:ind w:left="2007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2727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3447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4167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4887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5607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6327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7047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7767" w:hanging="180"/>
      </w:pPr>
      <w:rPr>
        <w:rFonts w:cs="Times New Roman"/>
      </w:rPr>
    </w:lvl>
  </w:abstractNum>
  <w:abstractNum w:abstractNumId="7">
    <w:nsid w:val="144B2DBB"/>
    <w:multiLevelType w:val="multilevel"/>
    <w:tmpl w:val="446EC104"/>
    <w:lvl w:ilvl="0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cs="Times New Roman" w:hint="default"/>
      </w:rPr>
    </w:lvl>
  </w:abstractNum>
  <w:abstractNum w:abstractNumId="8">
    <w:nsid w:val="18F05D1D"/>
    <w:multiLevelType w:val="hybridMultilevel"/>
    <w:tmpl w:val="5E72ACE6"/>
    <w:lvl w:ilvl="0" w:tplc="0416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D3D71C1"/>
    <w:multiLevelType w:val="hybridMultilevel"/>
    <w:tmpl w:val="EFD43D88"/>
    <w:lvl w:ilvl="0" w:tplc="C6369EC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>
    <w:nsid w:val="1DC25B71"/>
    <w:multiLevelType w:val="multilevel"/>
    <w:tmpl w:val="6F2C878A"/>
    <w:lvl w:ilvl="0">
      <w:start w:val="2"/>
      <w:numFmt w:val="decimal"/>
      <w:lvlText w:val="%1."/>
      <w:lvlJc w:val="left"/>
      <w:pPr>
        <w:ind w:left="555" w:hanging="555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ind w:left="1183" w:hanging="720"/>
      </w:pPr>
      <w:rPr>
        <w:rFonts w:cs="Times New Roman" w:hint="default"/>
      </w:rPr>
    </w:lvl>
    <w:lvl w:ilvl="2">
      <w:start w:val="1"/>
      <w:numFmt w:val="decimal"/>
      <w:lvlText w:val="%1.%2.%3)"/>
      <w:lvlJc w:val="left"/>
      <w:pPr>
        <w:ind w:left="1646" w:hanging="720"/>
      </w:pPr>
      <w:rPr>
        <w:rFonts w:cs="Times New Roman" w:hint="default"/>
      </w:rPr>
    </w:lvl>
    <w:lvl w:ilvl="3">
      <w:start w:val="1"/>
      <w:numFmt w:val="decimal"/>
      <w:lvlText w:val="%1.%2.%3)%4."/>
      <w:lvlJc w:val="left"/>
      <w:pPr>
        <w:ind w:left="2469" w:hanging="1080"/>
      </w:pPr>
      <w:rPr>
        <w:rFonts w:cs="Times New Roman" w:hint="default"/>
      </w:rPr>
    </w:lvl>
    <w:lvl w:ilvl="4">
      <w:start w:val="1"/>
      <w:numFmt w:val="decimal"/>
      <w:lvlText w:val="%1.%2.%3)%4.%5."/>
      <w:lvlJc w:val="left"/>
      <w:pPr>
        <w:ind w:left="2932" w:hanging="1080"/>
      </w:pPr>
      <w:rPr>
        <w:rFonts w:cs="Times New Roman" w:hint="default"/>
      </w:rPr>
    </w:lvl>
    <w:lvl w:ilvl="5">
      <w:start w:val="1"/>
      <w:numFmt w:val="decimal"/>
      <w:lvlText w:val="%1.%2.%3)%4.%5.%6."/>
      <w:lvlJc w:val="left"/>
      <w:pPr>
        <w:ind w:left="3755" w:hanging="1440"/>
      </w:pPr>
      <w:rPr>
        <w:rFonts w:cs="Times New Roman" w:hint="default"/>
      </w:rPr>
    </w:lvl>
    <w:lvl w:ilvl="6">
      <w:start w:val="1"/>
      <w:numFmt w:val="decimal"/>
      <w:lvlText w:val="%1.%2.%3)%4.%5.%6.%7."/>
      <w:lvlJc w:val="left"/>
      <w:pPr>
        <w:ind w:left="4218" w:hanging="1440"/>
      </w:pPr>
      <w:rPr>
        <w:rFonts w:cs="Times New Roman" w:hint="default"/>
      </w:rPr>
    </w:lvl>
    <w:lvl w:ilvl="7">
      <w:start w:val="1"/>
      <w:numFmt w:val="decimal"/>
      <w:lvlText w:val="%1.%2.%3)%4.%5.%6.%7.%8."/>
      <w:lvlJc w:val="left"/>
      <w:pPr>
        <w:ind w:left="5041" w:hanging="1800"/>
      </w:pPr>
      <w:rPr>
        <w:rFonts w:cs="Times New Roman" w:hint="default"/>
      </w:rPr>
    </w:lvl>
    <w:lvl w:ilvl="8">
      <w:start w:val="1"/>
      <w:numFmt w:val="decimal"/>
      <w:lvlText w:val="%1.%2.%3)%4.%5.%6.%7.%8.%9."/>
      <w:lvlJc w:val="left"/>
      <w:pPr>
        <w:ind w:left="5504" w:hanging="1800"/>
      </w:pPr>
      <w:rPr>
        <w:rFonts w:cs="Times New Roman" w:hint="default"/>
      </w:rPr>
    </w:lvl>
  </w:abstractNum>
  <w:abstractNum w:abstractNumId="11">
    <w:nsid w:val="249A6F2F"/>
    <w:multiLevelType w:val="hybridMultilevel"/>
    <w:tmpl w:val="3E48D09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4BF6567"/>
    <w:multiLevelType w:val="hybridMultilevel"/>
    <w:tmpl w:val="DCBA83D2"/>
    <w:lvl w:ilvl="0" w:tplc="0416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6331C6D"/>
    <w:multiLevelType w:val="hybridMultilevel"/>
    <w:tmpl w:val="003C40C6"/>
    <w:lvl w:ilvl="0" w:tplc="0416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>
    <w:nsid w:val="28E87BCE"/>
    <w:multiLevelType w:val="hybridMultilevel"/>
    <w:tmpl w:val="5C1E64F6"/>
    <w:lvl w:ilvl="0" w:tplc="0416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D220E0"/>
    <w:multiLevelType w:val="hybridMultilevel"/>
    <w:tmpl w:val="E60CE4AE"/>
    <w:lvl w:ilvl="0" w:tplc="0416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B701595"/>
    <w:multiLevelType w:val="hybridMultilevel"/>
    <w:tmpl w:val="63B2F830"/>
    <w:lvl w:ilvl="0" w:tplc="0416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C805AD1"/>
    <w:multiLevelType w:val="hybridMultilevel"/>
    <w:tmpl w:val="9B883826"/>
    <w:lvl w:ilvl="0" w:tplc="0416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8">
    <w:nsid w:val="2D7405E2"/>
    <w:multiLevelType w:val="hybridMultilevel"/>
    <w:tmpl w:val="51B03578"/>
    <w:lvl w:ilvl="0" w:tplc="0416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2E5D6D46"/>
    <w:multiLevelType w:val="hybridMultilevel"/>
    <w:tmpl w:val="99CA47C4"/>
    <w:lvl w:ilvl="0" w:tplc="0416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>
    <w:nsid w:val="333C4CC6"/>
    <w:multiLevelType w:val="hybridMultilevel"/>
    <w:tmpl w:val="C852A596"/>
    <w:lvl w:ilvl="0" w:tplc="5BB82200">
      <w:start w:val="1"/>
      <w:numFmt w:val="decimal"/>
      <w:lvlText w:val="%1."/>
      <w:lvlJc w:val="left"/>
      <w:pPr>
        <w:ind w:left="678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398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18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38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558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278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4998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18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38" w:hanging="180"/>
      </w:pPr>
      <w:rPr>
        <w:rFonts w:cs="Times New Roman"/>
      </w:rPr>
    </w:lvl>
  </w:abstractNum>
  <w:abstractNum w:abstractNumId="21">
    <w:nsid w:val="33C25205"/>
    <w:multiLevelType w:val="hybridMultilevel"/>
    <w:tmpl w:val="0AA47132"/>
    <w:lvl w:ilvl="0" w:tplc="3CEE0A00">
      <w:start w:val="1"/>
      <w:numFmt w:val="decimal"/>
      <w:lvlText w:val="%1)"/>
      <w:lvlJc w:val="left"/>
      <w:pPr>
        <w:ind w:left="1647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2367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3087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3807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4527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5247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967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6687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7407" w:hanging="180"/>
      </w:pPr>
      <w:rPr>
        <w:rFonts w:cs="Times New Roman"/>
      </w:rPr>
    </w:lvl>
  </w:abstractNum>
  <w:abstractNum w:abstractNumId="22">
    <w:nsid w:val="361D4310"/>
    <w:multiLevelType w:val="hybridMultilevel"/>
    <w:tmpl w:val="EDC89ED6"/>
    <w:lvl w:ilvl="0" w:tplc="0C0A0001">
      <w:start w:val="1"/>
      <w:numFmt w:val="bullet"/>
      <w:lvlText w:val=""/>
      <w:lvlJc w:val="left"/>
      <w:pPr>
        <w:tabs>
          <w:tab w:val="num" w:pos="1032"/>
        </w:tabs>
        <w:ind w:left="1032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752"/>
        </w:tabs>
        <w:ind w:left="1752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472"/>
        </w:tabs>
        <w:ind w:left="247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192"/>
        </w:tabs>
        <w:ind w:left="319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12"/>
        </w:tabs>
        <w:ind w:left="3912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32"/>
        </w:tabs>
        <w:ind w:left="463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52"/>
        </w:tabs>
        <w:ind w:left="535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072"/>
        </w:tabs>
        <w:ind w:left="6072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792"/>
        </w:tabs>
        <w:ind w:left="6792" w:hanging="360"/>
      </w:pPr>
      <w:rPr>
        <w:rFonts w:ascii="Wingdings" w:hAnsi="Wingdings" w:hint="default"/>
      </w:rPr>
    </w:lvl>
  </w:abstractNum>
  <w:abstractNum w:abstractNumId="23">
    <w:nsid w:val="364360C4"/>
    <w:multiLevelType w:val="hybridMultilevel"/>
    <w:tmpl w:val="9B5CC4EA"/>
    <w:lvl w:ilvl="0" w:tplc="05B07B88">
      <w:start w:val="1"/>
      <w:numFmt w:val="decimal"/>
      <w:lvlText w:val="%1"/>
      <w:lvlJc w:val="left"/>
      <w:pPr>
        <w:ind w:left="936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656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376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3096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816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536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256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976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696" w:hanging="180"/>
      </w:pPr>
      <w:rPr>
        <w:rFonts w:cs="Times New Roman"/>
      </w:rPr>
    </w:lvl>
  </w:abstractNum>
  <w:abstractNum w:abstractNumId="24">
    <w:nsid w:val="36E06C53"/>
    <w:multiLevelType w:val="hybridMultilevel"/>
    <w:tmpl w:val="D1121CAA"/>
    <w:lvl w:ilvl="0" w:tplc="04160009">
      <w:start w:val="1"/>
      <w:numFmt w:val="bullet"/>
      <w:lvlText w:val=""/>
      <w:lvlJc w:val="left"/>
      <w:pPr>
        <w:tabs>
          <w:tab w:val="num" w:pos="927"/>
        </w:tabs>
        <w:ind w:left="927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25">
    <w:nsid w:val="3D134E78"/>
    <w:multiLevelType w:val="multilevel"/>
    <w:tmpl w:val="40F0A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2F74995"/>
    <w:multiLevelType w:val="hybridMultilevel"/>
    <w:tmpl w:val="A2BA3F7A"/>
    <w:lvl w:ilvl="0" w:tplc="0416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44704C8B"/>
    <w:multiLevelType w:val="hybridMultilevel"/>
    <w:tmpl w:val="CA0A625E"/>
    <w:lvl w:ilvl="0" w:tplc="5CEAFF18">
      <w:start w:val="1"/>
      <w:numFmt w:val="decimal"/>
      <w:lvlText w:val="%1)"/>
      <w:lvlJc w:val="left"/>
      <w:pPr>
        <w:ind w:left="1284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2004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724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3444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4164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884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604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6324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7044" w:hanging="180"/>
      </w:pPr>
      <w:rPr>
        <w:rFonts w:cs="Times New Roman"/>
      </w:rPr>
    </w:lvl>
  </w:abstractNum>
  <w:abstractNum w:abstractNumId="28">
    <w:nsid w:val="46880184"/>
    <w:multiLevelType w:val="hybridMultilevel"/>
    <w:tmpl w:val="8884B93A"/>
    <w:lvl w:ilvl="0" w:tplc="7638B828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29">
    <w:nsid w:val="47E31601"/>
    <w:multiLevelType w:val="hybridMultilevel"/>
    <w:tmpl w:val="A04E47F2"/>
    <w:lvl w:ilvl="0" w:tplc="0416000F">
      <w:start w:val="1"/>
      <w:numFmt w:val="decimal"/>
      <w:lvlText w:val="%1."/>
      <w:lvlJc w:val="left"/>
      <w:pPr>
        <w:ind w:left="2007" w:hanging="360"/>
      </w:pPr>
      <w:rPr>
        <w:rFonts w:cs="Times New Roman"/>
      </w:rPr>
    </w:lvl>
    <w:lvl w:ilvl="1" w:tplc="04160019" w:tentative="1">
      <w:start w:val="1"/>
      <w:numFmt w:val="lowerLetter"/>
      <w:lvlText w:val="%2."/>
      <w:lvlJc w:val="left"/>
      <w:pPr>
        <w:ind w:left="2727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3447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4167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4887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5607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6327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7047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7767" w:hanging="180"/>
      </w:pPr>
      <w:rPr>
        <w:rFonts w:cs="Times New Roman"/>
      </w:rPr>
    </w:lvl>
  </w:abstractNum>
  <w:abstractNum w:abstractNumId="30">
    <w:nsid w:val="4AA44834"/>
    <w:multiLevelType w:val="hybridMultilevel"/>
    <w:tmpl w:val="1826BC60"/>
    <w:lvl w:ilvl="0" w:tplc="B84CF12E">
      <w:start w:val="1"/>
      <w:numFmt w:val="upperLetter"/>
      <w:lvlText w:val="%1)"/>
      <w:lvlJc w:val="left"/>
      <w:pPr>
        <w:ind w:left="75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7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9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91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3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5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7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9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510" w:hanging="180"/>
      </w:pPr>
      <w:rPr>
        <w:rFonts w:cs="Times New Roman"/>
      </w:rPr>
    </w:lvl>
  </w:abstractNum>
  <w:abstractNum w:abstractNumId="31">
    <w:nsid w:val="4BB64EB6"/>
    <w:multiLevelType w:val="hybridMultilevel"/>
    <w:tmpl w:val="C17402A4"/>
    <w:lvl w:ilvl="0" w:tplc="04160001">
      <w:start w:val="1"/>
      <w:numFmt w:val="bullet"/>
      <w:lvlText w:val=""/>
      <w:lvlJc w:val="left"/>
      <w:pPr>
        <w:ind w:left="21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916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6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3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076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7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5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236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956" w:hanging="360"/>
      </w:pPr>
      <w:rPr>
        <w:rFonts w:ascii="Wingdings" w:hAnsi="Wingdings" w:hint="default"/>
      </w:rPr>
    </w:lvl>
  </w:abstractNum>
  <w:abstractNum w:abstractNumId="32">
    <w:nsid w:val="4C4533CE"/>
    <w:multiLevelType w:val="multilevel"/>
    <w:tmpl w:val="330CDDF6"/>
    <w:lvl w:ilvl="0">
      <w:start w:val="2"/>
      <w:numFmt w:val="decimal"/>
      <w:lvlText w:val="%1."/>
      <w:lvlJc w:val="left"/>
      <w:pPr>
        <w:ind w:left="375" w:hanging="375"/>
      </w:pPr>
      <w:rPr>
        <w:rFonts w:cs="Times New Roman" w:hint="default"/>
      </w:rPr>
    </w:lvl>
    <w:lvl w:ilvl="1">
      <w:start w:val="1"/>
      <w:numFmt w:val="decimal"/>
      <w:lvlText w:val="%1.%2)"/>
      <w:lvlJc w:val="left"/>
      <w:pPr>
        <w:ind w:left="1647" w:hanging="720"/>
      </w:pPr>
      <w:rPr>
        <w:rFonts w:cs="Times New Roman" w:hint="default"/>
      </w:rPr>
    </w:lvl>
    <w:lvl w:ilvl="2">
      <w:start w:val="1"/>
      <w:numFmt w:val="decimal"/>
      <w:lvlText w:val="%1.%2)%3."/>
      <w:lvlJc w:val="left"/>
      <w:pPr>
        <w:ind w:left="2574" w:hanging="720"/>
      </w:pPr>
      <w:rPr>
        <w:rFonts w:cs="Times New Roman" w:hint="default"/>
      </w:rPr>
    </w:lvl>
    <w:lvl w:ilvl="3">
      <w:start w:val="1"/>
      <w:numFmt w:val="decimal"/>
      <w:lvlText w:val="%1.%2)%3.%4."/>
      <w:lvlJc w:val="left"/>
      <w:pPr>
        <w:ind w:left="3861" w:hanging="1080"/>
      </w:pPr>
      <w:rPr>
        <w:rFonts w:cs="Times New Roman" w:hint="default"/>
      </w:rPr>
    </w:lvl>
    <w:lvl w:ilvl="4">
      <w:start w:val="1"/>
      <w:numFmt w:val="decimal"/>
      <w:lvlText w:val="%1.%2)%3.%4.%5."/>
      <w:lvlJc w:val="left"/>
      <w:pPr>
        <w:ind w:left="4788" w:hanging="1080"/>
      </w:pPr>
      <w:rPr>
        <w:rFonts w:cs="Times New Roman" w:hint="default"/>
      </w:rPr>
    </w:lvl>
    <w:lvl w:ilvl="5">
      <w:start w:val="1"/>
      <w:numFmt w:val="decimal"/>
      <w:lvlText w:val="%1.%2)%3.%4.%5.%6."/>
      <w:lvlJc w:val="left"/>
      <w:pPr>
        <w:ind w:left="6075" w:hanging="1440"/>
      </w:pPr>
      <w:rPr>
        <w:rFonts w:cs="Times New Roman" w:hint="default"/>
      </w:rPr>
    </w:lvl>
    <w:lvl w:ilvl="6">
      <w:start w:val="1"/>
      <w:numFmt w:val="decimal"/>
      <w:lvlText w:val="%1.%2)%3.%4.%5.%6.%7."/>
      <w:lvlJc w:val="left"/>
      <w:pPr>
        <w:ind w:left="7002" w:hanging="1440"/>
      </w:pPr>
      <w:rPr>
        <w:rFonts w:cs="Times New Roman" w:hint="default"/>
      </w:rPr>
    </w:lvl>
    <w:lvl w:ilvl="7">
      <w:start w:val="1"/>
      <w:numFmt w:val="decimal"/>
      <w:lvlText w:val="%1.%2)%3.%4.%5.%6.%7.%8."/>
      <w:lvlJc w:val="left"/>
      <w:pPr>
        <w:ind w:left="8289" w:hanging="1800"/>
      </w:pPr>
      <w:rPr>
        <w:rFonts w:cs="Times New Roman" w:hint="default"/>
      </w:rPr>
    </w:lvl>
    <w:lvl w:ilvl="8">
      <w:start w:val="1"/>
      <w:numFmt w:val="decimal"/>
      <w:lvlText w:val="%1.%2)%3.%4.%5.%6.%7.%8.%9."/>
      <w:lvlJc w:val="left"/>
      <w:pPr>
        <w:ind w:left="9216" w:hanging="1800"/>
      </w:pPr>
      <w:rPr>
        <w:rFonts w:cs="Times New Roman" w:hint="default"/>
      </w:rPr>
    </w:lvl>
  </w:abstractNum>
  <w:abstractNum w:abstractNumId="33">
    <w:nsid w:val="55E160A0"/>
    <w:multiLevelType w:val="hybridMultilevel"/>
    <w:tmpl w:val="5052C71A"/>
    <w:lvl w:ilvl="0" w:tplc="5BB82200">
      <w:start w:val="1"/>
      <w:numFmt w:val="decimal"/>
      <w:lvlText w:val="%1."/>
      <w:lvlJc w:val="left"/>
      <w:pPr>
        <w:ind w:left="996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758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478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3198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918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638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358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6078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798" w:hanging="180"/>
      </w:pPr>
      <w:rPr>
        <w:rFonts w:cs="Times New Roman"/>
      </w:rPr>
    </w:lvl>
  </w:abstractNum>
  <w:abstractNum w:abstractNumId="34">
    <w:nsid w:val="5D6369AF"/>
    <w:multiLevelType w:val="hybridMultilevel"/>
    <w:tmpl w:val="462C5CD0"/>
    <w:lvl w:ilvl="0" w:tplc="FFFFFFFF"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5">
    <w:nsid w:val="61CC14E8"/>
    <w:multiLevelType w:val="hybridMultilevel"/>
    <w:tmpl w:val="E408B6DA"/>
    <w:lvl w:ilvl="0" w:tplc="08863C12">
      <w:start w:val="1"/>
      <w:numFmt w:val="decimal"/>
      <w:lvlText w:val="%1."/>
      <w:lvlJc w:val="left"/>
      <w:pPr>
        <w:ind w:left="1287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36">
    <w:nsid w:val="6C8B64B3"/>
    <w:multiLevelType w:val="hybridMultilevel"/>
    <w:tmpl w:val="78108180"/>
    <w:lvl w:ilvl="0" w:tplc="0416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>
    <w:nsid w:val="73280FDF"/>
    <w:multiLevelType w:val="multilevel"/>
    <w:tmpl w:val="1110FA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7AFE38D4"/>
    <w:multiLevelType w:val="multilevel"/>
    <w:tmpl w:val="D00C0EA6"/>
    <w:lvl w:ilvl="0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287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574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501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4788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5715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7002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929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9216" w:hanging="1800"/>
      </w:pPr>
      <w:rPr>
        <w:rFonts w:cs="Times New Roman" w:hint="default"/>
      </w:rPr>
    </w:lvl>
  </w:abstractNum>
  <w:num w:numId="1">
    <w:abstractNumId w:val="11"/>
  </w:num>
  <w:num w:numId="2">
    <w:abstractNumId w:val="34"/>
  </w:num>
  <w:num w:numId="3">
    <w:abstractNumId w:val="1"/>
  </w:num>
  <w:num w:numId="4">
    <w:abstractNumId w:val="2"/>
  </w:num>
  <w:num w:numId="5">
    <w:abstractNumId w:val="24"/>
  </w:num>
  <w:num w:numId="6">
    <w:abstractNumId w:val="17"/>
  </w:num>
  <w:num w:numId="7">
    <w:abstractNumId w:val="9"/>
  </w:num>
  <w:num w:numId="8">
    <w:abstractNumId w:val="32"/>
  </w:num>
  <w:num w:numId="9">
    <w:abstractNumId w:val="10"/>
  </w:num>
  <w:num w:numId="10">
    <w:abstractNumId w:val="8"/>
  </w:num>
  <w:num w:numId="11">
    <w:abstractNumId w:val="21"/>
  </w:num>
  <w:num w:numId="12">
    <w:abstractNumId w:val="5"/>
  </w:num>
  <w:num w:numId="13">
    <w:abstractNumId w:val="6"/>
  </w:num>
  <w:num w:numId="14">
    <w:abstractNumId w:val="25"/>
  </w:num>
  <w:num w:numId="15">
    <w:abstractNumId w:val="37"/>
  </w:num>
  <w:num w:numId="16">
    <w:abstractNumId w:val="22"/>
  </w:num>
  <w:num w:numId="17">
    <w:abstractNumId w:val="27"/>
  </w:num>
  <w:num w:numId="18">
    <w:abstractNumId w:val="14"/>
  </w:num>
  <w:num w:numId="19">
    <w:abstractNumId w:val="26"/>
  </w:num>
  <w:num w:numId="20">
    <w:abstractNumId w:val="19"/>
  </w:num>
  <w:num w:numId="21">
    <w:abstractNumId w:val="12"/>
  </w:num>
  <w:num w:numId="22">
    <w:abstractNumId w:val="36"/>
  </w:num>
  <w:num w:numId="23">
    <w:abstractNumId w:val="16"/>
  </w:num>
  <w:num w:numId="24">
    <w:abstractNumId w:val="23"/>
  </w:num>
  <w:num w:numId="25">
    <w:abstractNumId w:val="13"/>
  </w:num>
  <w:num w:numId="26">
    <w:abstractNumId w:val="31"/>
  </w:num>
  <w:num w:numId="27">
    <w:abstractNumId w:val="15"/>
  </w:num>
  <w:num w:numId="28">
    <w:abstractNumId w:val="18"/>
  </w:num>
  <w:num w:numId="29">
    <w:abstractNumId w:val="0"/>
  </w:num>
  <w:num w:numId="30">
    <w:abstractNumId w:val="30"/>
  </w:num>
  <w:num w:numId="31">
    <w:abstractNumId w:val="29"/>
  </w:num>
  <w:num w:numId="32">
    <w:abstractNumId w:val="4"/>
  </w:num>
  <w:num w:numId="33">
    <w:abstractNumId w:val="20"/>
  </w:num>
  <w:num w:numId="34">
    <w:abstractNumId w:val="33"/>
  </w:num>
  <w:num w:numId="35">
    <w:abstractNumId w:val="28"/>
  </w:num>
  <w:num w:numId="36">
    <w:abstractNumId w:val="7"/>
  </w:num>
  <w:num w:numId="37">
    <w:abstractNumId w:val="38"/>
  </w:num>
  <w:num w:numId="38">
    <w:abstractNumId w:val="3"/>
  </w:num>
  <w:num w:numId="39">
    <w:abstractNumId w:val="3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D290C"/>
    <w:rsid w:val="00004D3B"/>
    <w:rsid w:val="000062B0"/>
    <w:rsid w:val="00007A5F"/>
    <w:rsid w:val="00014F99"/>
    <w:rsid w:val="000170BB"/>
    <w:rsid w:val="00027476"/>
    <w:rsid w:val="000316F2"/>
    <w:rsid w:val="000372B7"/>
    <w:rsid w:val="00040E92"/>
    <w:rsid w:val="00042740"/>
    <w:rsid w:val="00042A83"/>
    <w:rsid w:val="00042E9A"/>
    <w:rsid w:val="00057896"/>
    <w:rsid w:val="000656B1"/>
    <w:rsid w:val="00074BE0"/>
    <w:rsid w:val="00075BB2"/>
    <w:rsid w:val="00082C38"/>
    <w:rsid w:val="000832ED"/>
    <w:rsid w:val="00083330"/>
    <w:rsid w:val="00091867"/>
    <w:rsid w:val="000955D0"/>
    <w:rsid w:val="00095E59"/>
    <w:rsid w:val="000965AA"/>
    <w:rsid w:val="000A193E"/>
    <w:rsid w:val="000D0DBF"/>
    <w:rsid w:val="000D3339"/>
    <w:rsid w:val="000D7D70"/>
    <w:rsid w:val="000F29C2"/>
    <w:rsid w:val="00100314"/>
    <w:rsid w:val="00107800"/>
    <w:rsid w:val="001158A1"/>
    <w:rsid w:val="00124273"/>
    <w:rsid w:val="00133618"/>
    <w:rsid w:val="001341DA"/>
    <w:rsid w:val="00152446"/>
    <w:rsid w:val="0015581E"/>
    <w:rsid w:val="00172179"/>
    <w:rsid w:val="00176D22"/>
    <w:rsid w:val="00181444"/>
    <w:rsid w:val="00192128"/>
    <w:rsid w:val="001B3558"/>
    <w:rsid w:val="001B7995"/>
    <w:rsid w:val="001C5A70"/>
    <w:rsid w:val="001D538D"/>
    <w:rsid w:val="001E78FD"/>
    <w:rsid w:val="001F46E1"/>
    <w:rsid w:val="0020477E"/>
    <w:rsid w:val="002100B5"/>
    <w:rsid w:val="00211DB8"/>
    <w:rsid w:val="002123C9"/>
    <w:rsid w:val="002276AE"/>
    <w:rsid w:val="0023610C"/>
    <w:rsid w:val="002437A7"/>
    <w:rsid w:val="002673F2"/>
    <w:rsid w:val="002703D7"/>
    <w:rsid w:val="002730A9"/>
    <w:rsid w:val="00286742"/>
    <w:rsid w:val="002A17DC"/>
    <w:rsid w:val="002A2848"/>
    <w:rsid w:val="002B1783"/>
    <w:rsid w:val="002B4558"/>
    <w:rsid w:val="002C0D99"/>
    <w:rsid w:val="002C1390"/>
    <w:rsid w:val="002C238E"/>
    <w:rsid w:val="002C37FF"/>
    <w:rsid w:val="002D5C36"/>
    <w:rsid w:val="002F3167"/>
    <w:rsid w:val="002F4DEF"/>
    <w:rsid w:val="00313150"/>
    <w:rsid w:val="00315222"/>
    <w:rsid w:val="00315D37"/>
    <w:rsid w:val="00326AB8"/>
    <w:rsid w:val="00326D98"/>
    <w:rsid w:val="00327C77"/>
    <w:rsid w:val="003324D5"/>
    <w:rsid w:val="00341254"/>
    <w:rsid w:val="00351375"/>
    <w:rsid w:val="003615CD"/>
    <w:rsid w:val="00365D4C"/>
    <w:rsid w:val="00367629"/>
    <w:rsid w:val="003846E3"/>
    <w:rsid w:val="003918BD"/>
    <w:rsid w:val="00391FA9"/>
    <w:rsid w:val="00396986"/>
    <w:rsid w:val="003A5126"/>
    <w:rsid w:val="003A7463"/>
    <w:rsid w:val="003C0612"/>
    <w:rsid w:val="003C5905"/>
    <w:rsid w:val="003C5B06"/>
    <w:rsid w:val="003D290C"/>
    <w:rsid w:val="003D4D5E"/>
    <w:rsid w:val="003E0213"/>
    <w:rsid w:val="003E25B6"/>
    <w:rsid w:val="003E463B"/>
    <w:rsid w:val="003F374C"/>
    <w:rsid w:val="003F61F0"/>
    <w:rsid w:val="003F7E27"/>
    <w:rsid w:val="0040066D"/>
    <w:rsid w:val="00402422"/>
    <w:rsid w:val="0041220A"/>
    <w:rsid w:val="00412490"/>
    <w:rsid w:val="00433B59"/>
    <w:rsid w:val="00460B71"/>
    <w:rsid w:val="004613FA"/>
    <w:rsid w:val="00465EBE"/>
    <w:rsid w:val="004703C3"/>
    <w:rsid w:val="00477127"/>
    <w:rsid w:val="0047723B"/>
    <w:rsid w:val="00480037"/>
    <w:rsid w:val="00487D7E"/>
    <w:rsid w:val="004911E8"/>
    <w:rsid w:val="004915BE"/>
    <w:rsid w:val="00493099"/>
    <w:rsid w:val="004945C4"/>
    <w:rsid w:val="00496AF3"/>
    <w:rsid w:val="004A5944"/>
    <w:rsid w:val="004B619A"/>
    <w:rsid w:val="004B6D7B"/>
    <w:rsid w:val="004E13A9"/>
    <w:rsid w:val="004F236D"/>
    <w:rsid w:val="004F3E92"/>
    <w:rsid w:val="00506062"/>
    <w:rsid w:val="00506528"/>
    <w:rsid w:val="00510815"/>
    <w:rsid w:val="00511B39"/>
    <w:rsid w:val="005142D9"/>
    <w:rsid w:val="005219C7"/>
    <w:rsid w:val="00533923"/>
    <w:rsid w:val="0053715A"/>
    <w:rsid w:val="00545915"/>
    <w:rsid w:val="00546EC2"/>
    <w:rsid w:val="00553B50"/>
    <w:rsid w:val="00553BBA"/>
    <w:rsid w:val="00556325"/>
    <w:rsid w:val="00564E95"/>
    <w:rsid w:val="005803DE"/>
    <w:rsid w:val="005809CC"/>
    <w:rsid w:val="0058661A"/>
    <w:rsid w:val="0059177E"/>
    <w:rsid w:val="005A1536"/>
    <w:rsid w:val="005A1C9A"/>
    <w:rsid w:val="005A67BA"/>
    <w:rsid w:val="005B201A"/>
    <w:rsid w:val="005B3D59"/>
    <w:rsid w:val="005B6314"/>
    <w:rsid w:val="005B7992"/>
    <w:rsid w:val="005C3CCA"/>
    <w:rsid w:val="005C5DA3"/>
    <w:rsid w:val="005C6262"/>
    <w:rsid w:val="005E1394"/>
    <w:rsid w:val="005E3CC8"/>
    <w:rsid w:val="005E4B76"/>
    <w:rsid w:val="00612380"/>
    <w:rsid w:val="006338C5"/>
    <w:rsid w:val="00635038"/>
    <w:rsid w:val="00641EDC"/>
    <w:rsid w:val="00650318"/>
    <w:rsid w:val="006565AA"/>
    <w:rsid w:val="00656745"/>
    <w:rsid w:val="00666712"/>
    <w:rsid w:val="006733DC"/>
    <w:rsid w:val="00674AF8"/>
    <w:rsid w:val="00684DE8"/>
    <w:rsid w:val="006B04D1"/>
    <w:rsid w:val="006B432E"/>
    <w:rsid w:val="006B63AB"/>
    <w:rsid w:val="006C42FD"/>
    <w:rsid w:val="006C5549"/>
    <w:rsid w:val="006C7D5E"/>
    <w:rsid w:val="006D1F29"/>
    <w:rsid w:val="006D40DB"/>
    <w:rsid w:val="006F102F"/>
    <w:rsid w:val="006F2377"/>
    <w:rsid w:val="006F23FD"/>
    <w:rsid w:val="00707EF9"/>
    <w:rsid w:val="00714647"/>
    <w:rsid w:val="00736D53"/>
    <w:rsid w:val="007536D1"/>
    <w:rsid w:val="00754BE6"/>
    <w:rsid w:val="00756418"/>
    <w:rsid w:val="007578CE"/>
    <w:rsid w:val="00761255"/>
    <w:rsid w:val="007755D9"/>
    <w:rsid w:val="00790727"/>
    <w:rsid w:val="0079569F"/>
    <w:rsid w:val="007959A8"/>
    <w:rsid w:val="007A0151"/>
    <w:rsid w:val="007A09D8"/>
    <w:rsid w:val="007A0D90"/>
    <w:rsid w:val="007B1135"/>
    <w:rsid w:val="007B17DB"/>
    <w:rsid w:val="007B1D46"/>
    <w:rsid w:val="007B4B99"/>
    <w:rsid w:val="007D2A74"/>
    <w:rsid w:val="007D56B5"/>
    <w:rsid w:val="007D6037"/>
    <w:rsid w:val="007E5781"/>
    <w:rsid w:val="007E7AC6"/>
    <w:rsid w:val="007F2628"/>
    <w:rsid w:val="007F7560"/>
    <w:rsid w:val="00803DF1"/>
    <w:rsid w:val="00806375"/>
    <w:rsid w:val="0082215D"/>
    <w:rsid w:val="008229A0"/>
    <w:rsid w:val="00823829"/>
    <w:rsid w:val="008262D1"/>
    <w:rsid w:val="008328E6"/>
    <w:rsid w:val="00833FC8"/>
    <w:rsid w:val="0083552F"/>
    <w:rsid w:val="008521E6"/>
    <w:rsid w:val="00886E16"/>
    <w:rsid w:val="00887B10"/>
    <w:rsid w:val="00887CB1"/>
    <w:rsid w:val="008A785E"/>
    <w:rsid w:val="008B4D44"/>
    <w:rsid w:val="008C2CC6"/>
    <w:rsid w:val="008D0AB4"/>
    <w:rsid w:val="008E19EB"/>
    <w:rsid w:val="008F3C6D"/>
    <w:rsid w:val="008F55ED"/>
    <w:rsid w:val="0090354D"/>
    <w:rsid w:val="00907F95"/>
    <w:rsid w:val="00922119"/>
    <w:rsid w:val="00925A05"/>
    <w:rsid w:val="009374F4"/>
    <w:rsid w:val="009378D4"/>
    <w:rsid w:val="0096150E"/>
    <w:rsid w:val="009666DB"/>
    <w:rsid w:val="009733D0"/>
    <w:rsid w:val="00973A82"/>
    <w:rsid w:val="00986FE4"/>
    <w:rsid w:val="00994139"/>
    <w:rsid w:val="009A3C3F"/>
    <w:rsid w:val="009B2AE3"/>
    <w:rsid w:val="009C2CA4"/>
    <w:rsid w:val="009D51AF"/>
    <w:rsid w:val="009F111B"/>
    <w:rsid w:val="009F4C5B"/>
    <w:rsid w:val="00A03EC4"/>
    <w:rsid w:val="00A06D88"/>
    <w:rsid w:val="00A31849"/>
    <w:rsid w:val="00A3544A"/>
    <w:rsid w:val="00A3670C"/>
    <w:rsid w:val="00A41EBD"/>
    <w:rsid w:val="00A5139E"/>
    <w:rsid w:val="00A54678"/>
    <w:rsid w:val="00A60025"/>
    <w:rsid w:val="00A66169"/>
    <w:rsid w:val="00A66B24"/>
    <w:rsid w:val="00A71A6F"/>
    <w:rsid w:val="00A83A01"/>
    <w:rsid w:val="00A86D7E"/>
    <w:rsid w:val="00A94644"/>
    <w:rsid w:val="00A952CD"/>
    <w:rsid w:val="00AA4540"/>
    <w:rsid w:val="00AB141B"/>
    <w:rsid w:val="00AC3682"/>
    <w:rsid w:val="00AC693A"/>
    <w:rsid w:val="00AC7B9A"/>
    <w:rsid w:val="00AD2E15"/>
    <w:rsid w:val="00AF0204"/>
    <w:rsid w:val="00AF0E51"/>
    <w:rsid w:val="00B17A21"/>
    <w:rsid w:val="00B33DA1"/>
    <w:rsid w:val="00B34461"/>
    <w:rsid w:val="00B46023"/>
    <w:rsid w:val="00B5181C"/>
    <w:rsid w:val="00B573E9"/>
    <w:rsid w:val="00B62B10"/>
    <w:rsid w:val="00B75F78"/>
    <w:rsid w:val="00B80125"/>
    <w:rsid w:val="00B922E8"/>
    <w:rsid w:val="00BA0C71"/>
    <w:rsid w:val="00BA6987"/>
    <w:rsid w:val="00BB00D1"/>
    <w:rsid w:val="00BB74DA"/>
    <w:rsid w:val="00BC14AA"/>
    <w:rsid w:val="00BC7576"/>
    <w:rsid w:val="00BD181A"/>
    <w:rsid w:val="00BD2DE2"/>
    <w:rsid w:val="00BD654D"/>
    <w:rsid w:val="00BE0F29"/>
    <w:rsid w:val="00BE1DEE"/>
    <w:rsid w:val="00BF51DA"/>
    <w:rsid w:val="00BF5D96"/>
    <w:rsid w:val="00BF653E"/>
    <w:rsid w:val="00C04A1F"/>
    <w:rsid w:val="00C11363"/>
    <w:rsid w:val="00C15817"/>
    <w:rsid w:val="00C30C21"/>
    <w:rsid w:val="00C46B08"/>
    <w:rsid w:val="00C555A7"/>
    <w:rsid w:val="00C64FEE"/>
    <w:rsid w:val="00C66F2F"/>
    <w:rsid w:val="00C7440F"/>
    <w:rsid w:val="00C807E1"/>
    <w:rsid w:val="00C80F62"/>
    <w:rsid w:val="00C87C58"/>
    <w:rsid w:val="00C94D77"/>
    <w:rsid w:val="00CA5715"/>
    <w:rsid w:val="00CC681A"/>
    <w:rsid w:val="00CE716E"/>
    <w:rsid w:val="00CF5BD4"/>
    <w:rsid w:val="00D03565"/>
    <w:rsid w:val="00D14F58"/>
    <w:rsid w:val="00D16EDA"/>
    <w:rsid w:val="00D22DC1"/>
    <w:rsid w:val="00D27599"/>
    <w:rsid w:val="00D4103C"/>
    <w:rsid w:val="00D42932"/>
    <w:rsid w:val="00D44164"/>
    <w:rsid w:val="00D50EC5"/>
    <w:rsid w:val="00D522CF"/>
    <w:rsid w:val="00D55E97"/>
    <w:rsid w:val="00D76233"/>
    <w:rsid w:val="00D76B1C"/>
    <w:rsid w:val="00D823DD"/>
    <w:rsid w:val="00D905DA"/>
    <w:rsid w:val="00DA2576"/>
    <w:rsid w:val="00DC6B08"/>
    <w:rsid w:val="00DF0D74"/>
    <w:rsid w:val="00E01264"/>
    <w:rsid w:val="00E11F5D"/>
    <w:rsid w:val="00E12F9A"/>
    <w:rsid w:val="00E33F4F"/>
    <w:rsid w:val="00E406EF"/>
    <w:rsid w:val="00E43056"/>
    <w:rsid w:val="00E43C6D"/>
    <w:rsid w:val="00E477DC"/>
    <w:rsid w:val="00E51C47"/>
    <w:rsid w:val="00E54B34"/>
    <w:rsid w:val="00E57DB9"/>
    <w:rsid w:val="00E65EAE"/>
    <w:rsid w:val="00E716D8"/>
    <w:rsid w:val="00E75DBA"/>
    <w:rsid w:val="00E76ABB"/>
    <w:rsid w:val="00E92558"/>
    <w:rsid w:val="00E967D6"/>
    <w:rsid w:val="00EC252E"/>
    <w:rsid w:val="00EC3842"/>
    <w:rsid w:val="00EC48A7"/>
    <w:rsid w:val="00ED24BB"/>
    <w:rsid w:val="00ED33F0"/>
    <w:rsid w:val="00ED6D59"/>
    <w:rsid w:val="00ED78A0"/>
    <w:rsid w:val="00EE0E15"/>
    <w:rsid w:val="00EE6926"/>
    <w:rsid w:val="00F00FDF"/>
    <w:rsid w:val="00F01869"/>
    <w:rsid w:val="00F1412C"/>
    <w:rsid w:val="00F16A20"/>
    <w:rsid w:val="00F251A4"/>
    <w:rsid w:val="00F27E7E"/>
    <w:rsid w:val="00F32838"/>
    <w:rsid w:val="00F36291"/>
    <w:rsid w:val="00F43A56"/>
    <w:rsid w:val="00F45B76"/>
    <w:rsid w:val="00F45EDF"/>
    <w:rsid w:val="00F57731"/>
    <w:rsid w:val="00F67A33"/>
    <w:rsid w:val="00F84087"/>
    <w:rsid w:val="00F867CE"/>
    <w:rsid w:val="00F86DF1"/>
    <w:rsid w:val="00F9359E"/>
    <w:rsid w:val="00FA01D8"/>
    <w:rsid w:val="00FA04F5"/>
    <w:rsid w:val="00FA5144"/>
    <w:rsid w:val="00FB1BBC"/>
    <w:rsid w:val="00FB325D"/>
    <w:rsid w:val="00FB3670"/>
    <w:rsid w:val="00FB79D7"/>
    <w:rsid w:val="00FD1441"/>
    <w:rsid w:val="00FD6F9B"/>
    <w:rsid w:val="00FE63F0"/>
    <w:rsid w:val="00FE75EA"/>
    <w:rsid w:val="00FE7B70"/>
    <w:rsid w:val="00FF10A2"/>
    <w:rsid w:val="00FF2D21"/>
    <w:rsid w:val="00FF6B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Body Text 3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290C"/>
    <w:rPr>
      <w:rFonts w:ascii="Times New Roman" w:eastAsia="Times New Roman" w:hAnsi="Times New Roman"/>
      <w:sz w:val="24"/>
      <w:szCs w:val="24"/>
      <w:lang w:val="es-ES_tradnl" w:eastAsia="es-ES_tradnl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74BE0"/>
    <w:pPr>
      <w:keepNext/>
      <w:outlineLvl w:val="2"/>
    </w:pPr>
    <w:rPr>
      <w:rFonts w:cs="Arial"/>
      <w:b/>
      <w:bCs/>
      <w:lang w:val="pt-BR" w:eastAsia="pt-BR"/>
    </w:rPr>
  </w:style>
  <w:style w:type="paragraph" w:styleId="Heading5">
    <w:name w:val="heading 5"/>
    <w:basedOn w:val="Normal"/>
    <w:next w:val="Normal"/>
    <w:link w:val="Heading5Char"/>
    <w:uiPriority w:val="99"/>
    <w:qFormat/>
    <w:rsid w:val="00F27E7E"/>
    <w:pPr>
      <w:keepNext/>
      <w:keepLines/>
      <w:spacing w:before="200"/>
      <w:outlineLvl w:val="4"/>
    </w:pPr>
    <w:rPr>
      <w:rFonts w:ascii="Cambria" w:hAnsi="Cambria"/>
      <w:color w:val="243F60"/>
    </w:rPr>
  </w:style>
  <w:style w:type="paragraph" w:styleId="Heading6">
    <w:name w:val="heading 6"/>
    <w:basedOn w:val="Normal"/>
    <w:next w:val="Normal"/>
    <w:link w:val="Heading6Char"/>
    <w:uiPriority w:val="99"/>
    <w:qFormat/>
    <w:rsid w:val="00F27E7E"/>
    <w:pPr>
      <w:keepNext/>
      <w:keepLines/>
      <w:spacing w:before="200"/>
      <w:outlineLvl w:val="5"/>
    </w:pPr>
    <w:rPr>
      <w:rFonts w:ascii="Cambria" w:hAnsi="Cambria"/>
      <w:i/>
      <w:iCs/>
      <w:color w:val="243F6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9"/>
    <w:locked/>
    <w:rsid w:val="00074BE0"/>
    <w:rPr>
      <w:rFonts w:ascii="Times New Roman" w:hAnsi="Times New Roman" w:cs="Arial"/>
      <w:b/>
      <w:bCs/>
      <w:sz w:val="24"/>
      <w:szCs w:val="24"/>
      <w:lang w:eastAsia="pt-BR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F27E7E"/>
    <w:rPr>
      <w:rFonts w:ascii="Cambria" w:hAnsi="Cambria" w:cs="Times New Roman"/>
      <w:color w:val="243F60"/>
      <w:sz w:val="24"/>
      <w:szCs w:val="24"/>
      <w:lang w:val="es-ES_tradnl" w:eastAsia="es-ES_tradnl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F27E7E"/>
    <w:rPr>
      <w:rFonts w:ascii="Cambria" w:hAnsi="Cambria" w:cs="Times New Roman"/>
      <w:i/>
      <w:iCs/>
      <w:color w:val="243F60"/>
      <w:sz w:val="24"/>
      <w:szCs w:val="24"/>
      <w:lang w:val="es-ES_tradnl" w:eastAsia="es-ES_tradnl"/>
    </w:rPr>
  </w:style>
  <w:style w:type="paragraph" w:customStyle="1" w:styleId="Paragrafos">
    <w:name w:val="Paragrafos"/>
    <w:basedOn w:val="Normal"/>
    <w:link w:val="ParagrafosChar"/>
    <w:uiPriority w:val="99"/>
    <w:rsid w:val="003D290C"/>
    <w:pPr>
      <w:spacing w:after="120"/>
      <w:ind w:firstLine="567"/>
      <w:jc w:val="both"/>
    </w:pPr>
    <w:rPr>
      <w:rFonts w:ascii="Verdana" w:hAnsi="Verdana"/>
      <w:color w:val="000000"/>
      <w:sz w:val="20"/>
    </w:rPr>
  </w:style>
  <w:style w:type="character" w:customStyle="1" w:styleId="ParagrafosChar">
    <w:name w:val="Paragrafos Char"/>
    <w:basedOn w:val="DefaultParagraphFont"/>
    <w:link w:val="Paragrafos"/>
    <w:uiPriority w:val="99"/>
    <w:locked/>
    <w:rsid w:val="003D290C"/>
    <w:rPr>
      <w:rFonts w:ascii="Verdana" w:hAnsi="Verdana" w:cs="Times New Roman"/>
      <w:color w:val="000000"/>
      <w:sz w:val="24"/>
      <w:szCs w:val="24"/>
      <w:lang w:val="es-ES_tradnl" w:eastAsia="es-ES_tradnl"/>
    </w:rPr>
  </w:style>
  <w:style w:type="character" w:styleId="Hyperlink">
    <w:name w:val="Hyperlink"/>
    <w:basedOn w:val="DefaultParagraphFont"/>
    <w:uiPriority w:val="99"/>
    <w:rsid w:val="003D290C"/>
    <w:rPr>
      <w:rFonts w:cs="Times New Roman"/>
      <w:color w:val="0000FF"/>
      <w:u w:val="single"/>
    </w:rPr>
  </w:style>
  <w:style w:type="character" w:styleId="Emphasis">
    <w:name w:val="Emphasis"/>
    <w:basedOn w:val="DefaultParagraphFont"/>
    <w:uiPriority w:val="99"/>
    <w:qFormat/>
    <w:rsid w:val="003D290C"/>
    <w:rPr>
      <w:rFonts w:cs="Times New Roman"/>
      <w:i/>
      <w:iCs/>
    </w:rPr>
  </w:style>
  <w:style w:type="paragraph" w:customStyle="1" w:styleId="Autor">
    <w:name w:val="Autor"/>
    <w:basedOn w:val="Paragrafos"/>
    <w:uiPriority w:val="99"/>
    <w:rsid w:val="003D290C"/>
    <w:pPr>
      <w:widowControl w:val="0"/>
      <w:ind w:firstLine="0"/>
      <w:jc w:val="center"/>
    </w:pPr>
    <w:rPr>
      <w:i/>
    </w:rPr>
  </w:style>
  <w:style w:type="paragraph" w:customStyle="1" w:styleId="Ttulosinternos">
    <w:name w:val="Títulos internos"/>
    <w:basedOn w:val="Normal"/>
    <w:uiPriority w:val="99"/>
    <w:rsid w:val="003D290C"/>
    <w:pPr>
      <w:jc w:val="center"/>
    </w:pPr>
    <w:rPr>
      <w:rFonts w:ascii="Verdana" w:hAnsi="Verdana"/>
      <w:b/>
      <w:smallCaps/>
      <w:color w:val="3366FF"/>
      <w:sz w:val="28"/>
      <w:szCs w:val="28"/>
    </w:rPr>
  </w:style>
  <w:style w:type="paragraph" w:customStyle="1" w:styleId="Referencias">
    <w:name w:val="Referencias"/>
    <w:basedOn w:val="Paragrafos"/>
    <w:link w:val="ReferenciasChar"/>
    <w:uiPriority w:val="99"/>
    <w:rsid w:val="003D290C"/>
    <w:pPr>
      <w:ind w:left="357" w:hanging="357"/>
      <w:jc w:val="left"/>
    </w:pPr>
  </w:style>
  <w:style w:type="character" w:customStyle="1" w:styleId="ReferenciasChar">
    <w:name w:val="Referencias Char"/>
    <w:basedOn w:val="ParagrafosChar"/>
    <w:link w:val="Referencias"/>
    <w:uiPriority w:val="99"/>
    <w:locked/>
    <w:rsid w:val="003D290C"/>
  </w:style>
  <w:style w:type="paragraph" w:styleId="Title">
    <w:name w:val="Title"/>
    <w:basedOn w:val="Normal"/>
    <w:next w:val="Normal"/>
    <w:link w:val="TitleChar"/>
    <w:uiPriority w:val="99"/>
    <w:qFormat/>
    <w:rsid w:val="003D290C"/>
    <w:pPr>
      <w:widowControl w:val="0"/>
      <w:spacing w:after="840"/>
      <w:jc w:val="right"/>
    </w:pPr>
    <w:rPr>
      <w:rFonts w:ascii="Verdana" w:hAnsi="Verdana"/>
      <w:b/>
      <w:color w:val="000099"/>
      <w:spacing w:val="5"/>
      <w:kern w:val="28"/>
      <w:sz w:val="40"/>
      <w:szCs w:val="52"/>
      <w:lang w:val="es-MX" w:eastAsia="es-MX"/>
    </w:rPr>
  </w:style>
  <w:style w:type="character" w:customStyle="1" w:styleId="TitleChar">
    <w:name w:val="Title Char"/>
    <w:basedOn w:val="DefaultParagraphFont"/>
    <w:link w:val="Title"/>
    <w:uiPriority w:val="99"/>
    <w:locked/>
    <w:rsid w:val="003D290C"/>
    <w:rPr>
      <w:rFonts w:ascii="Verdana" w:hAnsi="Verdana" w:cs="Times New Roman"/>
      <w:b/>
      <w:color w:val="000099"/>
      <w:spacing w:val="5"/>
      <w:kern w:val="28"/>
      <w:sz w:val="52"/>
      <w:szCs w:val="52"/>
      <w:lang w:val="es-MX" w:eastAsia="es-MX"/>
    </w:rPr>
  </w:style>
  <w:style w:type="paragraph" w:styleId="ListParagraph">
    <w:name w:val="List Paragraph"/>
    <w:basedOn w:val="Normal"/>
    <w:uiPriority w:val="99"/>
    <w:qFormat/>
    <w:rsid w:val="003D290C"/>
    <w:pPr>
      <w:spacing w:after="200" w:line="276" w:lineRule="auto"/>
      <w:ind w:left="708"/>
    </w:pPr>
    <w:rPr>
      <w:rFonts w:ascii="Calibri" w:hAnsi="Calibri"/>
      <w:sz w:val="22"/>
      <w:szCs w:val="22"/>
      <w:lang w:val="es-MX" w:eastAsia="en-US"/>
    </w:rPr>
  </w:style>
  <w:style w:type="character" w:customStyle="1" w:styleId="st">
    <w:name w:val="st"/>
    <w:basedOn w:val="DefaultParagraphFont"/>
    <w:uiPriority w:val="99"/>
    <w:rsid w:val="003D290C"/>
    <w:rPr>
      <w:rFonts w:cs="Times New Roman"/>
    </w:rPr>
  </w:style>
  <w:style w:type="paragraph" w:styleId="EndnoteText">
    <w:name w:val="endnote text"/>
    <w:basedOn w:val="Normal"/>
    <w:link w:val="EndnoteTextChar"/>
    <w:uiPriority w:val="99"/>
    <w:rsid w:val="00074BE0"/>
    <w:rPr>
      <w:rFonts w:ascii="Calibri" w:hAnsi="Calibri"/>
      <w:sz w:val="20"/>
      <w:szCs w:val="20"/>
      <w:lang w:val="es-ES" w:eastAsia="en-US"/>
    </w:rPr>
  </w:style>
  <w:style w:type="character" w:customStyle="1" w:styleId="EndnoteTextChar">
    <w:name w:val="Endnote Text Char"/>
    <w:basedOn w:val="DefaultParagraphFont"/>
    <w:link w:val="EndnoteText"/>
    <w:uiPriority w:val="99"/>
    <w:locked/>
    <w:rsid w:val="00074BE0"/>
    <w:rPr>
      <w:rFonts w:ascii="Calibri" w:hAnsi="Calibri" w:cs="Times New Roman"/>
      <w:sz w:val="20"/>
      <w:szCs w:val="20"/>
      <w:lang w:val="es-ES"/>
    </w:rPr>
  </w:style>
  <w:style w:type="table" w:styleId="TableGrid">
    <w:name w:val="Table Grid"/>
    <w:basedOn w:val="TableNormal"/>
    <w:uiPriority w:val="99"/>
    <w:rsid w:val="00074BE0"/>
    <w:rPr>
      <w:rFonts w:eastAsia="Times New Roman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rsid w:val="00074BE0"/>
    <w:pPr>
      <w:spacing w:before="100" w:beforeAutospacing="1" w:after="100" w:afterAutospacing="1"/>
    </w:pPr>
    <w:rPr>
      <w:lang w:val="pt-BR" w:eastAsia="pt-BR"/>
    </w:rPr>
  </w:style>
  <w:style w:type="paragraph" w:customStyle="1" w:styleId="rtejustify">
    <w:name w:val="rtejustify"/>
    <w:basedOn w:val="Normal"/>
    <w:uiPriority w:val="99"/>
    <w:rsid w:val="00074BE0"/>
    <w:pPr>
      <w:spacing w:before="100" w:beforeAutospacing="1" w:after="100" w:afterAutospacing="1"/>
    </w:pPr>
    <w:rPr>
      <w:lang w:val="pt-BR" w:eastAsia="pt-BR"/>
    </w:rPr>
  </w:style>
  <w:style w:type="paragraph" w:styleId="BalloonText">
    <w:name w:val="Balloon Text"/>
    <w:basedOn w:val="Normal"/>
    <w:link w:val="BalloonTextChar"/>
    <w:uiPriority w:val="99"/>
    <w:semiHidden/>
    <w:rsid w:val="003E021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E0213"/>
    <w:rPr>
      <w:rFonts w:ascii="Tahoma" w:hAnsi="Tahoma" w:cs="Tahoma"/>
      <w:sz w:val="16"/>
      <w:szCs w:val="16"/>
      <w:lang w:val="es-ES_tradnl" w:eastAsia="es-ES_tradnl"/>
    </w:rPr>
  </w:style>
  <w:style w:type="paragraph" w:styleId="FootnoteText">
    <w:name w:val="footnote text"/>
    <w:basedOn w:val="Normal"/>
    <w:link w:val="FootnoteTextChar"/>
    <w:uiPriority w:val="99"/>
    <w:rsid w:val="00D905DA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D905DA"/>
    <w:rPr>
      <w:rFonts w:ascii="Times New Roman" w:hAnsi="Times New Roman" w:cs="Times New Roman"/>
      <w:sz w:val="20"/>
      <w:szCs w:val="20"/>
      <w:lang w:val="es-ES_tradnl" w:eastAsia="es-ES_tradnl"/>
    </w:rPr>
  </w:style>
  <w:style w:type="character" w:styleId="FootnoteReference">
    <w:name w:val="footnote reference"/>
    <w:basedOn w:val="DefaultParagraphFont"/>
    <w:uiPriority w:val="99"/>
    <w:semiHidden/>
    <w:rsid w:val="00D905DA"/>
    <w:rPr>
      <w:rFonts w:cs="Times New Roman"/>
      <w:vertAlign w:val="superscript"/>
    </w:rPr>
  </w:style>
  <w:style w:type="paragraph" w:styleId="BodyText">
    <w:name w:val="Body Text"/>
    <w:basedOn w:val="Normal"/>
    <w:link w:val="BodyTextChar"/>
    <w:uiPriority w:val="99"/>
    <w:rsid w:val="00F27E7E"/>
    <w:pPr>
      <w:jc w:val="both"/>
    </w:pPr>
    <w:rPr>
      <w:rFonts w:ascii="Garamond" w:hAnsi="Garamond"/>
      <w:szCs w:val="20"/>
      <w:lang w:val="pt-BR" w:eastAsia="pt-BR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F27E7E"/>
    <w:rPr>
      <w:rFonts w:ascii="Garamond" w:hAnsi="Garamond" w:cs="Times New Roman"/>
      <w:sz w:val="20"/>
      <w:szCs w:val="20"/>
      <w:lang w:eastAsia="pt-BR"/>
    </w:rPr>
  </w:style>
  <w:style w:type="paragraph" w:styleId="BodyTextIndent">
    <w:name w:val="Body Text Indent"/>
    <w:basedOn w:val="Normal"/>
    <w:link w:val="BodyTextIndentChar"/>
    <w:uiPriority w:val="99"/>
    <w:rsid w:val="00F27E7E"/>
    <w:pPr>
      <w:ind w:left="-709"/>
      <w:jc w:val="center"/>
    </w:pPr>
    <w:rPr>
      <w:rFonts w:ascii="Arial" w:hAnsi="Arial" w:cs="Arial"/>
      <w:b/>
      <w:bCs/>
      <w:sz w:val="28"/>
      <w:szCs w:val="20"/>
      <w:lang w:val="pt-BR" w:eastAsia="pt-BR"/>
    </w:r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F27E7E"/>
    <w:rPr>
      <w:rFonts w:ascii="Arial" w:hAnsi="Arial" w:cs="Arial"/>
      <w:b/>
      <w:bCs/>
      <w:sz w:val="20"/>
      <w:szCs w:val="20"/>
      <w:lang w:eastAsia="pt-BR"/>
    </w:rPr>
  </w:style>
  <w:style w:type="paragraph" w:styleId="Header">
    <w:name w:val="header"/>
    <w:basedOn w:val="Normal"/>
    <w:link w:val="HeaderChar"/>
    <w:uiPriority w:val="99"/>
    <w:rsid w:val="00F27E7E"/>
    <w:pPr>
      <w:tabs>
        <w:tab w:val="center" w:pos="4419"/>
        <w:tab w:val="right" w:pos="8838"/>
      </w:tabs>
    </w:pPr>
    <w:rPr>
      <w:rFonts w:ascii="Garamond" w:hAnsi="Garamond"/>
      <w:szCs w:val="20"/>
      <w:lang w:val="pt-BR" w:eastAsia="pt-BR"/>
    </w:rPr>
  </w:style>
  <w:style w:type="character" w:customStyle="1" w:styleId="HeaderChar">
    <w:name w:val="Header Char"/>
    <w:basedOn w:val="DefaultParagraphFont"/>
    <w:link w:val="Header"/>
    <w:uiPriority w:val="99"/>
    <w:locked/>
    <w:rsid w:val="00F27E7E"/>
    <w:rPr>
      <w:rFonts w:ascii="Garamond" w:hAnsi="Garamond" w:cs="Times New Roman"/>
      <w:sz w:val="20"/>
      <w:szCs w:val="20"/>
      <w:lang w:eastAsia="pt-BR"/>
    </w:rPr>
  </w:style>
  <w:style w:type="paragraph" w:styleId="BodyText2">
    <w:name w:val="Body Text 2"/>
    <w:basedOn w:val="Normal"/>
    <w:link w:val="BodyText2Char"/>
    <w:uiPriority w:val="99"/>
    <w:rsid w:val="00F27E7E"/>
    <w:pPr>
      <w:ind w:right="-709"/>
    </w:pPr>
    <w:rPr>
      <w:rFonts w:ascii="Arial" w:hAnsi="Arial" w:cs="Arial"/>
      <w:szCs w:val="20"/>
      <w:lang w:val="pt-BR" w:eastAsia="pt-BR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F27E7E"/>
    <w:rPr>
      <w:rFonts w:ascii="Arial" w:hAnsi="Arial" w:cs="Arial"/>
      <w:sz w:val="20"/>
      <w:szCs w:val="20"/>
      <w:lang w:eastAsia="pt-BR"/>
    </w:rPr>
  </w:style>
  <w:style w:type="paragraph" w:styleId="BodyText3">
    <w:name w:val="Body Text 3"/>
    <w:basedOn w:val="Normal"/>
    <w:link w:val="BodyText3Char"/>
    <w:uiPriority w:val="99"/>
    <w:rsid w:val="00F27E7E"/>
    <w:pPr>
      <w:spacing w:line="360" w:lineRule="auto"/>
      <w:ind w:right="-709"/>
      <w:jc w:val="both"/>
    </w:pPr>
    <w:rPr>
      <w:rFonts w:ascii="Arial" w:hAnsi="Arial" w:cs="Arial"/>
      <w:szCs w:val="20"/>
      <w:lang w:val="pt-BR" w:eastAsia="pt-BR"/>
    </w:rPr>
  </w:style>
  <w:style w:type="character" w:customStyle="1" w:styleId="BodyText3Char">
    <w:name w:val="Body Text 3 Char"/>
    <w:basedOn w:val="DefaultParagraphFont"/>
    <w:link w:val="BodyText3"/>
    <w:uiPriority w:val="99"/>
    <w:locked/>
    <w:rsid w:val="00F27E7E"/>
    <w:rPr>
      <w:rFonts w:ascii="Arial" w:hAnsi="Arial" w:cs="Arial"/>
      <w:sz w:val="20"/>
      <w:szCs w:val="20"/>
      <w:lang w:eastAsia="pt-BR"/>
    </w:rPr>
  </w:style>
  <w:style w:type="paragraph" w:customStyle="1" w:styleId="Default">
    <w:name w:val="Default"/>
    <w:uiPriority w:val="99"/>
    <w:rsid w:val="002F316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styleId="LineNumber">
    <w:name w:val="line number"/>
    <w:basedOn w:val="DefaultParagraphFont"/>
    <w:uiPriority w:val="99"/>
    <w:semiHidden/>
    <w:rsid w:val="006733DC"/>
    <w:rPr>
      <w:rFonts w:cs="Times New Roman"/>
    </w:rPr>
  </w:style>
  <w:style w:type="paragraph" w:styleId="Footer">
    <w:name w:val="footer"/>
    <w:basedOn w:val="Normal"/>
    <w:link w:val="FooterChar"/>
    <w:uiPriority w:val="99"/>
    <w:semiHidden/>
    <w:rsid w:val="00A31849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A31849"/>
    <w:rPr>
      <w:rFonts w:ascii="Times New Roman" w:hAnsi="Times New Roman" w:cs="Times New Roman"/>
      <w:sz w:val="24"/>
      <w:szCs w:val="24"/>
      <w:lang w:val="es-ES_tradnl" w:eastAsia="es-ES_tradn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6327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327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327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632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632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327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63276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63276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63276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976327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6327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46</TotalTime>
  <Pages>18</Pages>
  <Words>2184</Words>
  <Characters>11796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REGIMENTO INTERNO DO COMITÊ REGIONAL DE PREVENÇÃO DOS ÓBITOS MATERNO, INFANTIL E FETAL/SANTA CATARINA</dc:title>
  <dc:subject/>
  <dc:creator>Profa. Maria de Lourdes de Souza</dc:creator>
  <cp:keywords/>
  <dc:description/>
  <cp:lastModifiedBy>cruzh</cp:lastModifiedBy>
  <cp:revision>5</cp:revision>
  <cp:lastPrinted>2013-07-12T00:06:00Z</cp:lastPrinted>
  <dcterms:created xsi:type="dcterms:W3CDTF">2014-02-13T17:32:00Z</dcterms:created>
  <dcterms:modified xsi:type="dcterms:W3CDTF">2014-02-17T18:40:00Z</dcterms:modified>
</cp:coreProperties>
</file>