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PORTARIA Nº 122, DE 25 DE JANEIRO DE 2011</w:t>
      </w:r>
    </w:p>
    <w:p w:rsidR="00DD1089" w:rsidRPr="009C4579" w:rsidRDefault="00DD1089" w:rsidP="009C4579">
      <w:pPr>
        <w:spacing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Define as diretrizes de organização e funcionamento das Equipes de Consultório na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O MINISTRO DE ESTADO DA SAÚDE, no uso das atribuições que lhe conferem os incisos I e II do parágrafo único do art. 87 da Constituição,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</w:t>
      </w:r>
      <w:hyperlink r:id="rId4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Decreto Nº 7.053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23 de dezembro de 2009, que instituiu a Política Nacional para a População em Situação de Rua e seu Comitê Intersetorial de Acompanhamento e Monitoramento da Política, do qual faz parte o Ministério da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</w:t>
      </w:r>
      <w:hyperlink r:id="rId5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3.305/GM/MS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24 de dezembro de 2009, que instituiu o Comitê Técnico de saúde para a população de rua;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6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Lei Nº 8.069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13 de julho de 1990, que dispõe sobre o Estatuto da criança e do adolescente e dá outras providências;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disposto na Política Nacional de Atenção Básica, aprovada por meio da </w:t>
      </w:r>
      <w:hyperlink r:id="rId7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2.488/GM/MS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21 de outubro de 2011;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Considerando a Lei Federal Nº 11.889, de 24 de dezembro de 2008, que regulamenta o exercício das profissões de Técnico em Saúde Bucal (TSB) e de Auxiliar em Saúde Bucal (ASB);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8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204/GM/MS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29 de janeiro de 2007, que regulamenta o financiamento e a transferência dos recursos federais para as ações e os serviços de saúde, na forma de blocos de financiamento;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9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Lei Nº 10.216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6 de abril de 2001, que dispõe sobre a proteção e os direitos das pessoas portadoras de transtornos mentais e redireciona o modelo assistencial em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o </w:t>
      </w:r>
      <w:hyperlink r:id="rId10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Decreto Nº 7.179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20 de maio de 2010, que institui o Plano Integrado de Enfrentamento ao Crack e outras Drogas, cria o seu Comitê Gestor e dá outras providências;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11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3.088/GM/MS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23 de dezembro de 2011, que institui a rede de cuidados de saúde mental 2011;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Considerando a </w:t>
      </w:r>
      <w:hyperlink r:id="rId12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1.028/GM/MS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1º de julho de 2005, que regulamenta as ações que visam à redução de danos sociais e à saúde, decorrentes do uso de produtos, substancias ou drogas que causem dependência;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Considerando a demanda do Movimento Nacional da População em Situação de Rua, de instituição de equipes de Atenção Básica atendendo as especificidades dessa população;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Considerando a necessidade de integração intersetorial entre as Políticas de Saúde e as demais políticas públicas, visando a melhorar a capacidade de resposta às demandas e necessidades de saúde inerentes à população em situação de rua, resolve: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Art. 1º Ficam definidas, nos termos desta Portaria, as diretrizes de organização e funcionamento das equipes dos Consultórios na Rua (eCR), previstas pela </w:t>
      </w:r>
      <w:hyperlink r:id="rId13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Portaria Nº 2.488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, de 21 de outubro de 2011, que aprova 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Parágrafo único. As eCR integram o componente atenção básica da Rede de Atenção Psicossocial e desenvolvem ações de Atenção Básica, devendo seguir os fundamentos e as diretrizes definidos na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2º As eCR são multiprofissionais e lidam com os diferentes problemas e necessidades de saúde da população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1º As atividades das eCR incluirão a busca ativa e o cuidado aos usuários de álcool, crack e outras drogas.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2º As eCR desempenharão suas atividades in loco, de forma itinerante, desenvolvendo ações compartilhadas e integradas às Unidades Básicas de Saúde (UBS) e, quando necessário, também com as equipes dos Centros de Atenção Psicossocial (CAPS), dos serviços de Urgência e Emergência e de outros pontos de atenção, de acordo com a necessidade do usuário.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3º As eCR utilizarão, quando necessário, as instalações das UBS do território.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3º As equipes dos Consultórios na Rua possuem as seguintes modalidades: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Modalidade I: equipe formada, minimamente, por quatro profissionais, escolhidos dentre aqueles estabelecidos no art. 2º desta Portaria, excetuando-se o médico, sendo: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a) dois profissionais de nível superior;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b) dois profissionais de nível médio;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Modalidade II: equipe formada, minimamente, por seis profissionais, escolhidos dentre aqueles estabelecidos no art. 2º desta Portaria, excetuando-se o médico, sendo: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a) três profissionais de nível superior;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b) três profissionais de nível médio;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Modalidade III: equipe da Modalidade II acrescida de um profissional médico.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4º As eCR poderão ser compostas pelos seguintes profissionais de saúde: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enfermeiro;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psicólogo;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assistente social;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IV - terapeuta ocupacional;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 - médico;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VI - agente social;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VII - técnico ou auxiliar de enfermagem;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VIII - técnico em saúde bucal.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1º Na composição de cada eCR deve haver, preferencialmente, o máximo de dois profissionais da mesma profissão de saúde, seja de nível médio ou superior.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2º Todas as modalidades de eCR poderão agregar Agentes Comunitários de Saúde, complementando suas ações.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3º As equipes de saúde da família que atendam pessoas em situação de rua poderão ter sua habilitação modificada para eCR, respeitados os parâmetros de adstrição de clientela e de composição profissional previstos para cada modalidade, nos termos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4º No caso do § 3º, as eCR poderão ser contabilizadas no numero de equipes matriciadas pelos Núcleos de Apoio à Saúde da Família (NASF).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5º O agente social, quando houver, será considerado equivalente ao profissional de nível médio.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6º Entende-se por agente social o profissional que desempenha atividades que visam garantir a atenção, a defesa e a proteção às pessoas em situação de risco pessoal e social, assim como aproximar as equipes dos valores, modos de vida e cultura das pessoas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7º Os agentes sociais exercerão as seguintes atribuições: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trabalhar junto a usuários de álcool, crack e outras drogas, agregando conhecimentos básicos sobre Redução de Danos, uso, abuso e dependência de substâncias psicoativas;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realizar atividades educativas e culturais (educativas e lúdicas);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dispensação de insumos de proteção à saúde;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IV - encaminhar e mediar o processo de encaminhamento para Rede de Saúde e intersetorial;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V - acompanhar o cuidado das pessoas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8º Os agentes sociais terão, preferencialmente, experiência prévia em atenção a pessoas em situação de rua e/ou trajetória de vida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9º O técnico em saúde bucal da eCR será supervisionado por um cirurgião-dentista vinculado a uma Equipe de Saúde da Família (ESF) ou a outra equipe de atenção básica da área correspondente à área de atuação da eCR ou da UBS mais próxima da área de atuação, conforme definição do gestor local.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10. A equipe de que trata o §9º também será responsável pelo atendimento da população e pela programação de atividades em conjunto com o Técnico em Saúde Bucal da eCR.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11. A supervisão do cirurgião-dentista, de que trata o § 9º, direta ou indireta, será obrigatória em todas as atividades realizadas pelo técnico em saúde bucal.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5º As eCR cumprirão carga horária mínima de 30 (trinta) horas semanais.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Parágrafo único. O horário de funcionamento deverá se adequar às demandas das pessoas em situação de rua, podendo ocorrer em período diurno e/ou noturno e em qualquer dia da semana.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6º Para cálculo do número máximo de eCR financiados pelo Ministério da Saúde por Município, serão tomados como base os dados dos censos populacionais relacionados à  população em situaçãode rua, realizados por órgãos oficias e reconhecidos pelo Departamento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de Atenção Básica da </w:t>
      </w:r>
      <w:hyperlink r:id="rId14" w:tgtFrame="_blank" w:tooltip="Secretaria de Atenção à Saúde" w:history="1">
        <w:r w:rsidRPr="009C4579">
          <w:rPr>
            <w:rFonts w:ascii="Verdana" w:hAnsi="Verdana" w:cs="Arial"/>
            <w:color w:val="1E6298"/>
            <w:sz w:val="18"/>
            <w:lang w:eastAsia="pt-BR"/>
          </w:rPr>
          <w:t>Secretaria de Atenção à Saúde</w:t>
        </w:r>
      </w:hyperlink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 do Ministério da Saúde (DAB/SAS/MS).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1º O número de eCR por município será publicado em portaria específica da SAS/MS, de acordo com os censos populacionais vigentes relacionados à população em situação de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2º O parâmetro adotado será de uma eCR a cada oitenta a mil pessoas em situação de rua, conforme faixas estabelecidas no Anexo I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7º As eCR terão acesso a processos de educação permanente, contemplando-se, dentre outros, a abordagem das diferentes necessidades de saúde da população em situação de rua, bem como o desenvolvimento de competências para a prática da redução de danos.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8º Fica instituído o incentivo financeiro de custeio mensal para as equipes de Consultório na Rua, nos seguintes termos: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para a eCR da Modalidade I será repassado o valor de R$ 9.500,00 (nove mil e quinhentos reais) por mês;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para eCR da Modalidade II será repassado o valor de R$ 13.000,00 (treze mil reais) por mês;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III - para a eCR da Modalidade III será repassado o valor de R$ 18.000,00 (dezoito mil reais) por mês.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1º O incentivo financeiro de custeio instituído neste artigo engloba o custeio para transporte da eCR.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2º O início do repasse mensal do incentivo ocorrerá após a habilitação do Município, publicada por portaria específica da SAS/MS, que dependerá do cumprimento dos seguintes requisitos: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 - demonstração do cadastramento da eCR no Sistema de Cadastro Nacional de Estabelecimentos de Saúde (SCNES); e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II - alimentação de dados no Sistema de Informação vigente.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3º O repasse do incentivo financeiro instituído neste artigo será suspenso em caso de descumprimento desta Portaria e da Portaria Nº 2.488, de 2011, no que toca aos Consultórios na Rua.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4º O funcionamento da eCR será avaliado e monitorado pelo DAB/SAS/MS, pelo Departamento Nacional de Auditoria do SUS (DENASUS) e pela Secretaria de Saúde estadual.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5º As 92 (noventa e duas) equipes de consultório de rua constantes do anexo II desta Portaria, contempladas com financiamento oriundo das Chamadas de Seleção realizadas em 2010 pela Área Técnica de Saúde Mental, Álcool e outras Drogas do DAPES/SAS/MS, também poderão ser cadastradas como eCR, nos termos desta Portaria, para fins de recebimento do incentivo instituído neste artigo, desde que se adequem a alguma das modalidades descritas no art. 3º desta Portaria.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§ 6º No caso do § 5º, as equipes já existentes somente receberão o incentivo de que trata esta Portaria após ultrapassados doze meses desde o início do financiamento e da execução do recurso citado.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9º O gestor municipal de saúde deverá disponibilizar veículo para deslocamento da eCR, para viabilizar o cuidado presencial para a população de rua, consoante as diretrizes da Política Nacional de Atenção Básica.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Parágrafo único. O veículo destinado ao deslocamento da eCR deverá manter a identificação visual e o grafismo da eCR, de acordo com o padrão pactuado nacionalmente.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10. Para implantação, credenciamento e liberação do financiamento das eCR, os Municípios e o Distrito Federal seguirão os processos descritos na Política Nacional de Atenção Básica (PNAB) para implantação das Equipes de Saúde da Família.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11. O Ministério da Saúde publicará manual e documentos de apoio com vistas a auxiliar a implementação das eCR.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12. Os recursos orçamentários de que dispõe esta Portaria serão transferidos de forma regular e automática, do Fundo Nacional de Saúde (FNS) aos Fundos de Saúde municipais e do Distrito Federal, e correrão por conta do orçamento do Ministério da Saúde, devendo onerar o Programa de Trabalho 10.301.1214.20AD - Piso de Atenção Básica Variável.</w:t>
      </w:r>
    </w:p>
    <w:p w:rsidR="00DD1089" w:rsidRPr="009C4579" w:rsidRDefault="00DD1089" w:rsidP="009C4579">
      <w:pPr>
        <w:spacing w:before="150" w:after="225" w:line="324" w:lineRule="auto"/>
        <w:jc w:val="both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Art. 13. Esta Portaria entra em vigor em 1º de fevereiro de 2012.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ALEXANDRE ROCHA SANTOS PADILHA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ANEXO I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SP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Campinas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SUL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PR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Cascavel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RS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Caxias do Sul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 xml:space="preserve">SC 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Blumenau</w:t>
      </w:r>
    </w:p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 </w:t>
      </w:r>
    </w:p>
    <w:tbl>
      <w:tblPr>
        <w:tblW w:w="0" w:type="auto"/>
        <w:jc w:val="center"/>
        <w:tblCellSpacing w:w="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A0"/>
      </w:tblPr>
      <w:tblGrid>
        <w:gridCol w:w="2226"/>
        <w:gridCol w:w="1319"/>
        <w:gridCol w:w="2279"/>
        <w:gridCol w:w="1191"/>
      </w:tblGrid>
      <w:tr w:rsidR="00DD1089" w:rsidRPr="00272559">
        <w:trPr>
          <w:tblCellSpacing w:w="22" w:type="dxa"/>
          <w:jc w:val="center"/>
        </w:trPr>
        <w:tc>
          <w:tcPr>
            <w:tcW w:w="2160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Região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Estado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Município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Nº CR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CENTRO OESTE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DF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Brasília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Anápolis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Aparecida de Goiânia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Goiânia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MG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Cuiabá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MT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Várzea Grande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MS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Corumbá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Ponta Porã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NORTE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AC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Rio Branco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AM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Manacapuru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Manaus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AP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Macapá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Belém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Santarém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RO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Porto Velho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NORDESTE</w:t>
            </w: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AL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Maceió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Salvador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CE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Fortaleza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Imperatriz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PB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Campina Grande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João Pessoa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PE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Camaragibe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Olinda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Paulista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Recife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PI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Teresina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RN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Natal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160" w:type="dxa"/>
            <w:vMerge w:val="restart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SUDESTE</w:t>
            </w: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ES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Serra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Vila Velha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Vitória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MG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Barbacena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Belo Horizonte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Janaúba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Juiz de Fora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Montes Claros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Uberaba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Uberlândia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1275" w:type="dxa"/>
            <w:vMerge w:val="restart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RJ</w:t>
            </w: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Duque de Caxais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Itaboraí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Macaé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Niterói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Nova Iguaçu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Resende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Rio de Janeiro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Diadema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Embu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Guarulhos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Jundiaí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Osasco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Ribeirão Preto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Santos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Bernardo do Campo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José do Rio Preto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José dos Campos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São Paulo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Sorocaba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Suzano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Curitiba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Maringá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Pelotas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Porto Alegre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Uruguaiana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Viamão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after="0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 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Criciúma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Florianópolis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0" w:type="auto"/>
            <w:vMerge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0" w:type="auto"/>
            <w:vMerge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center"/>
          </w:tcPr>
          <w:p w:rsidR="00DD1089" w:rsidRPr="009C4579" w:rsidRDefault="00DD1089" w:rsidP="009C4579">
            <w:pPr>
              <w:spacing w:after="0" w:line="240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</w:p>
        </w:tc>
        <w:tc>
          <w:tcPr>
            <w:tcW w:w="223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Joinville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5685" w:type="dxa"/>
            <w:gridSpan w:val="3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TOTAL</w:t>
            </w:r>
          </w:p>
        </w:tc>
        <w:tc>
          <w:tcPr>
            <w:tcW w:w="112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92</w:t>
            </w:r>
          </w:p>
        </w:tc>
      </w:tr>
    </w:tbl>
    <w:p w:rsidR="00DD1089" w:rsidRPr="009C4579" w:rsidRDefault="00DD1089" w:rsidP="009C4579">
      <w:pPr>
        <w:spacing w:before="150" w:after="225" w:line="324" w:lineRule="auto"/>
        <w:jc w:val="center"/>
        <w:rPr>
          <w:rFonts w:ascii="Verdana" w:hAnsi="Verdana" w:cs="Arial"/>
          <w:color w:val="333333"/>
          <w:sz w:val="18"/>
          <w:szCs w:val="18"/>
          <w:lang w:eastAsia="pt-BR"/>
        </w:rPr>
      </w:pPr>
      <w:r w:rsidRPr="009C4579">
        <w:rPr>
          <w:rFonts w:ascii="Verdana" w:hAnsi="Verdana" w:cs="Arial"/>
          <w:color w:val="333333"/>
          <w:sz w:val="18"/>
          <w:szCs w:val="18"/>
          <w:lang w:eastAsia="pt-BR"/>
        </w:rPr>
        <w:t>ANEXO II</w:t>
      </w:r>
    </w:p>
    <w:tbl>
      <w:tblPr>
        <w:tblW w:w="0" w:type="auto"/>
        <w:jc w:val="center"/>
        <w:tblCellSpacing w:w="22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0A0"/>
      </w:tblPr>
      <w:tblGrid>
        <w:gridCol w:w="2331"/>
        <w:gridCol w:w="2309"/>
        <w:gridCol w:w="2331"/>
      </w:tblGrid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FAIXA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POPULAÇÃO EM SITUAÇÃO DE RUA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jc w:val="center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N° DE EQUIPES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80 - 1000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1001 - 2000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2001 - 3000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3001- 4000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4001- 5000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5001- 6000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6001- 7000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7001- 8000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8001- 9000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9001- 10000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10001 -11000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11001 -12000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12001 - 13000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14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13001 - 14000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14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14001- 15000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</w:t>
            </w:r>
          </w:p>
        </w:tc>
      </w:tr>
      <w:tr w:rsidR="00DD1089" w:rsidRPr="00272559">
        <w:trPr>
          <w:tblCellSpacing w:w="22" w:type="dxa"/>
          <w:jc w:val="center"/>
        </w:trPr>
        <w:tc>
          <w:tcPr>
            <w:tcW w:w="2265" w:type="dxa"/>
            <w:tcBorders>
              <w:top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16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15001 - 16000</w:t>
            </w:r>
          </w:p>
        </w:tc>
        <w:tc>
          <w:tcPr>
            <w:tcW w:w="2265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</w:tcBorders>
          </w:tcPr>
          <w:p w:rsidR="00DD1089" w:rsidRPr="009C4579" w:rsidRDefault="00DD1089" w:rsidP="009C4579">
            <w:pPr>
              <w:spacing w:before="150" w:after="225" w:line="324" w:lineRule="auto"/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</w:pPr>
            <w:r w:rsidRPr="009C4579">
              <w:rPr>
                <w:rFonts w:ascii="Arial" w:hAnsi="Arial" w:cs="Arial"/>
                <w:color w:val="333333"/>
                <w:sz w:val="18"/>
                <w:szCs w:val="18"/>
                <w:lang w:eastAsia="pt-BR"/>
              </w:rPr>
              <w:t>16</w:t>
            </w:r>
          </w:p>
        </w:tc>
      </w:tr>
    </w:tbl>
    <w:p w:rsidR="00DD1089" w:rsidRDefault="00DD1089"/>
    <w:sectPr w:rsidR="00DD1089" w:rsidSect="001C4F3B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9C4579"/>
    <w:rsid w:val="001C4F3B"/>
    <w:rsid w:val="00272559"/>
    <w:rsid w:val="00383FEF"/>
    <w:rsid w:val="009C4579"/>
    <w:rsid w:val="00C43795"/>
    <w:rsid w:val="00D734EB"/>
    <w:rsid w:val="00DD108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pt-BR" w:eastAsia="pt-BR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4F3B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rsid w:val="009C4579"/>
    <w:rPr>
      <w:rFonts w:cs="Times New Roman"/>
      <w:color w:val="1E6298"/>
      <w:u w:val="none"/>
      <w:effect w:val="none"/>
    </w:rPr>
  </w:style>
  <w:style w:type="paragraph" w:styleId="NormalWeb">
    <w:name w:val="Normal (Web)"/>
    <w:basedOn w:val="Normal"/>
    <w:uiPriority w:val="99"/>
    <w:rsid w:val="009C4579"/>
    <w:pPr>
      <w:spacing w:before="150" w:after="225" w:line="240" w:lineRule="auto"/>
    </w:pPr>
    <w:rPr>
      <w:rFonts w:ascii="Times New Roman" w:eastAsia="Times New Roman" w:hAnsi="Times New Roman"/>
      <w:sz w:val="24"/>
      <w:szCs w:val="24"/>
      <w:lang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89871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9871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898715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98715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5898716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5898716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58987155">
                              <w:marLeft w:val="225"/>
                              <w:marRight w:val="225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5898715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58987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898715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58987164">
                                              <w:marLeft w:val="0"/>
                                              <w:marRight w:val="0"/>
                                              <w:marTop w:val="300"/>
                                              <w:marBottom w:val="30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58987154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8987158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  <w:divsChild>
                                                        <w:div w:id="58987159">
                                                          <w:marLeft w:val="720"/>
                                                          <w:marRight w:val="720"/>
                                                          <w:marTop w:val="100"/>
                                                          <w:marBottom w:val="100"/>
                                                          <w:divBdr>
                                                            <w:top w:val="none" w:sz="0" w:space="0" w:color="auto"/>
                                                            <w:left w:val="none" w:sz="0" w:space="0" w:color="auto"/>
                                                            <w:bottom w:val="none" w:sz="0" w:space="0" w:color="auto"/>
                                                            <w:right w:val="none" w:sz="0" w:space="0" w:color="auto"/>
                                                          </w:divBdr>
                                                          <w:divsChild>
                                                            <w:div w:id="58987163">
                                                              <w:marLeft w:val="720"/>
                                                              <w:marRight w:val="720"/>
                                                              <w:marTop w:val="100"/>
                                                              <w:marBottom w:val="100"/>
                                                              <w:divBdr>
                                                                <w:top w:val="none" w:sz="0" w:space="0" w:color="auto"/>
                                                                <w:left w:val="none" w:sz="0" w:space="0" w:color="auto"/>
                                                                <w:bottom w:val="none" w:sz="0" w:space="0" w:color="auto"/>
                                                                <w:right w:val="none" w:sz="0" w:space="0" w:color="auto"/>
                                                              </w:divBdr>
                                                            </w:div>
                                                          </w:divsChild>
                                                        </w:div>
                                                      </w:divsChild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brasilsus.com.br/legislacoes/gm/336-204.html?q=" TargetMode="External"/><Relationship Id="rId13" Type="http://schemas.openxmlformats.org/officeDocument/2006/relationships/hyperlink" Target="http://www.brasilsus.com.br/legislacoes/gm/110154-2488.html?q=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://www.brasilsus.com.br/legislacoes/gm/110154-2488.html?q=" TargetMode="External"/><Relationship Id="rId12" Type="http://schemas.openxmlformats.org/officeDocument/2006/relationships/hyperlink" Target="http://www.brasilsus.com.br/legislacoes/gm/1848-1028.html?q=" TargetMode="External"/><Relationship Id="rId2" Type="http://schemas.openxmlformats.org/officeDocument/2006/relationships/settings" Target="settings.xml"/><Relationship Id="rId16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hyperlink" Target="http://www.brasilsus.com.br/legislacoes/leis/12959-8069.html?q=" TargetMode="External"/><Relationship Id="rId11" Type="http://schemas.openxmlformats.org/officeDocument/2006/relationships/hyperlink" Target="http://www.brasilsus.com.br/legislacoes/gm/111276-3088.html?q=" TargetMode="External"/><Relationship Id="rId5" Type="http://schemas.openxmlformats.org/officeDocument/2006/relationships/hyperlink" Target="http://www.brasilsus.com.br/legislacoes/gm/102268-3305.html?q=" TargetMode="External"/><Relationship Id="rId15" Type="http://schemas.openxmlformats.org/officeDocument/2006/relationships/fontTable" Target="fontTable.xml"/><Relationship Id="rId10" Type="http://schemas.openxmlformats.org/officeDocument/2006/relationships/hyperlink" Target="http://www.brasilsus.com.br/legislacoes/decretos/105691-7179.html?q=" TargetMode="External"/><Relationship Id="rId4" Type="http://schemas.openxmlformats.org/officeDocument/2006/relationships/hyperlink" Target="http://www.brasilsus.com.br/legislacoes/decretos/111895-7053.html?q=" TargetMode="External"/><Relationship Id="rId9" Type="http://schemas.openxmlformats.org/officeDocument/2006/relationships/hyperlink" Target="http://www.brasilsus.com.br/legislacoes/leis/14246-10216.html?q=" TargetMode="External"/><Relationship Id="rId14" Type="http://schemas.openxmlformats.org/officeDocument/2006/relationships/hyperlink" Target="http://www.brasilsus.com.br/noticias/nacionais/101353-secretaria-de-atencao-a-saude-sas?q=%22secretaria+de+aten%C3%A7%C3%A3o+%C3%A0+sa%C3%BAde%22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1</TotalTime>
  <Pages>11</Pages>
  <Words>2141</Words>
  <Characters>11564</Characters>
  <Application>Microsoft Office Outlook</Application>
  <DocSecurity>0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PORTARIA Nº 122, DE 25 DE JANEIRO DE 2011</dc:title>
  <dc:subject/>
  <dc:creator>Tânia</dc:creator>
  <cp:keywords/>
  <dc:description/>
  <cp:lastModifiedBy>heckrathmcr</cp:lastModifiedBy>
  <cp:revision>2</cp:revision>
  <dcterms:created xsi:type="dcterms:W3CDTF">2012-01-26T20:06:00Z</dcterms:created>
  <dcterms:modified xsi:type="dcterms:W3CDTF">2012-01-26T20:06:00Z</dcterms:modified>
</cp:coreProperties>
</file>