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817"/>
        <w:gridCol w:w="96"/>
        <w:gridCol w:w="333"/>
        <w:gridCol w:w="348"/>
      </w:tblGrid>
      <w:tr w:rsidR="00F36593" w:rsidRPr="00F36593" w:rsidTr="00F36593">
        <w:trPr>
          <w:tblCellSpacing w:w="15" w:type="dxa"/>
        </w:trPr>
        <w:tc>
          <w:tcPr>
            <w:tcW w:w="5000" w:type="pct"/>
            <w:tcMar>
              <w:top w:w="15" w:type="dxa"/>
              <w:left w:w="15" w:type="dxa"/>
              <w:bottom w:w="81" w:type="dxa"/>
              <w:right w:w="15" w:type="dxa"/>
            </w:tcMar>
            <w:vAlign w:val="center"/>
            <w:hideMark/>
          </w:tcPr>
          <w:p w:rsidR="00F36593" w:rsidRPr="00F36593" w:rsidRDefault="00F36593" w:rsidP="00F36593">
            <w:pPr>
              <w:spacing w:before="152" w:line="264" w:lineRule="auto"/>
              <w:rPr>
                <w:rFonts w:ascii="Arial Narrow" w:hAnsi="Arial Narrow" w:cs="Arial"/>
                <w:color w:val="1E6298"/>
                <w:sz w:val="18"/>
                <w:szCs w:val="18"/>
              </w:rPr>
            </w:pPr>
            <w:r w:rsidRPr="00F36593">
              <w:rPr>
                <w:rFonts w:ascii="Arial Narrow" w:hAnsi="Arial Narrow" w:cs="Arial"/>
                <w:color w:val="1E6298"/>
                <w:sz w:val="18"/>
                <w:szCs w:val="18"/>
              </w:rPr>
              <w:t xml:space="preserve">PORTARIA Nº 1.030, DE 26 DE SETEMBRO DE 2012 </w:t>
            </w:r>
          </w:p>
        </w:tc>
        <w:tc>
          <w:tcPr>
            <w:tcW w:w="5000" w:type="pct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F36593" w:rsidRPr="00F36593" w:rsidRDefault="00F36593" w:rsidP="00F36593">
            <w:pPr>
              <w:spacing w:line="324" w:lineRule="auto"/>
              <w:jc w:val="right"/>
              <w:rPr>
                <w:rFonts w:ascii="Arial" w:hAnsi="Arial" w:cs="Arial"/>
                <w:color w:val="333333"/>
                <w:sz w:val="12"/>
                <w:szCs w:val="12"/>
              </w:rPr>
            </w:pPr>
          </w:p>
        </w:tc>
        <w:tc>
          <w:tcPr>
            <w:tcW w:w="5000" w:type="pct"/>
            <w:tcMar>
              <w:top w:w="15" w:type="dxa"/>
              <w:left w:w="15" w:type="dxa"/>
              <w:bottom w:w="81" w:type="dxa"/>
              <w:right w:w="15" w:type="dxa"/>
            </w:tcMar>
            <w:vAlign w:val="center"/>
            <w:hideMark/>
          </w:tcPr>
          <w:p w:rsidR="00F36593" w:rsidRPr="00F36593" w:rsidRDefault="00F36593" w:rsidP="00F36593">
            <w:pPr>
              <w:spacing w:line="324" w:lineRule="auto"/>
              <w:jc w:val="right"/>
              <w:rPr>
                <w:rFonts w:ascii="Arial" w:hAnsi="Arial" w:cs="Arial"/>
                <w:color w:val="333333"/>
                <w:sz w:val="12"/>
                <w:szCs w:val="12"/>
              </w:rPr>
            </w:pPr>
            <w:r>
              <w:rPr>
                <w:rFonts w:ascii="Arial" w:hAnsi="Arial" w:cs="Arial"/>
                <w:noProof/>
                <w:color w:val="1E6298"/>
                <w:sz w:val="12"/>
                <w:szCs w:val="12"/>
              </w:rPr>
              <w:drawing>
                <wp:inline distT="0" distB="0" distL="0" distR="0">
                  <wp:extent cx="154305" cy="154305"/>
                  <wp:effectExtent l="19050" t="0" r="0" b="0"/>
                  <wp:docPr id="1" name="Imagem 1" descr="Imprimir">
                    <a:hlinkClick xmlns:a="http://schemas.openxmlformats.org/drawingml/2006/main" r:id="rId4" tooltip="&quot;Imprimir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mprimir">
                            <a:hlinkClick r:id="rId4" tooltip="&quot;Imprimir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4305" cy="1543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tcMar>
              <w:top w:w="15" w:type="dxa"/>
              <w:left w:w="15" w:type="dxa"/>
              <w:bottom w:w="81" w:type="dxa"/>
              <w:right w:w="15" w:type="dxa"/>
            </w:tcMar>
            <w:vAlign w:val="center"/>
            <w:hideMark/>
          </w:tcPr>
          <w:p w:rsidR="00F36593" w:rsidRPr="00F36593" w:rsidRDefault="00F36593" w:rsidP="00F36593">
            <w:pPr>
              <w:spacing w:line="324" w:lineRule="auto"/>
              <w:jc w:val="right"/>
              <w:rPr>
                <w:rFonts w:ascii="Arial" w:hAnsi="Arial" w:cs="Arial"/>
                <w:color w:val="333333"/>
                <w:sz w:val="12"/>
                <w:szCs w:val="12"/>
              </w:rPr>
            </w:pPr>
            <w:r>
              <w:rPr>
                <w:rFonts w:ascii="Arial" w:hAnsi="Arial" w:cs="Arial"/>
                <w:noProof/>
                <w:color w:val="1E6298"/>
                <w:sz w:val="12"/>
                <w:szCs w:val="12"/>
              </w:rPr>
              <w:drawing>
                <wp:inline distT="0" distB="0" distL="0" distR="0">
                  <wp:extent cx="154305" cy="154305"/>
                  <wp:effectExtent l="19050" t="0" r="0" b="0"/>
                  <wp:docPr id="2" name="Imagem 2" descr="E-mail">
                    <a:hlinkClick xmlns:a="http://schemas.openxmlformats.org/drawingml/2006/main" r:id="rId6" tooltip="&quot;E-mail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E-mail">
                            <a:hlinkClick r:id="rId6" tooltip="&quot;E-mail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4305" cy="1543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36593" w:rsidRPr="00F36593" w:rsidRDefault="00F36593" w:rsidP="00F36593">
      <w:pPr>
        <w:spacing w:line="324" w:lineRule="auto"/>
        <w:rPr>
          <w:rFonts w:ascii="Arial" w:hAnsi="Arial" w:cs="Arial"/>
          <w:vanish/>
          <w:color w:val="333333"/>
          <w:sz w:val="12"/>
          <w:szCs w:val="1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594"/>
      </w:tblGrid>
      <w:tr w:rsidR="00F36593" w:rsidRPr="00F36593" w:rsidTr="00F36593">
        <w:trPr>
          <w:tblCellSpacing w:w="15" w:type="dxa"/>
        </w:trPr>
        <w:tc>
          <w:tcPr>
            <w:tcW w:w="0" w:type="auto"/>
            <w:vAlign w:val="center"/>
            <w:hideMark/>
          </w:tcPr>
          <w:p w:rsidR="00F36593" w:rsidRPr="00F36593" w:rsidRDefault="00F36593" w:rsidP="00F36593">
            <w:pPr>
              <w:spacing w:line="324" w:lineRule="auto"/>
              <w:rPr>
                <w:rFonts w:ascii="Arial" w:hAnsi="Arial" w:cs="Arial"/>
                <w:color w:val="333333"/>
                <w:sz w:val="12"/>
                <w:szCs w:val="12"/>
              </w:rPr>
            </w:pPr>
            <w:r w:rsidRPr="00F36593">
              <w:rPr>
                <w:rFonts w:ascii="Arial" w:hAnsi="Arial" w:cs="Arial"/>
                <w:color w:val="333333"/>
                <w:sz w:val="12"/>
                <w:szCs w:val="12"/>
              </w:rPr>
              <w:t xml:space="preserve">Legislações - SAS </w:t>
            </w:r>
          </w:p>
        </w:tc>
      </w:tr>
      <w:tr w:rsidR="00F36593" w:rsidRPr="00F36593" w:rsidTr="00F36593">
        <w:trPr>
          <w:tblCellSpacing w:w="15" w:type="dxa"/>
        </w:trPr>
        <w:tc>
          <w:tcPr>
            <w:tcW w:w="0" w:type="auto"/>
            <w:hideMark/>
          </w:tcPr>
          <w:p w:rsidR="00F36593" w:rsidRPr="00F36593" w:rsidRDefault="00F36593" w:rsidP="00F36593">
            <w:pPr>
              <w:spacing w:line="324" w:lineRule="auto"/>
              <w:rPr>
                <w:rFonts w:ascii="Arial" w:hAnsi="Arial" w:cs="Arial"/>
                <w:color w:val="333333"/>
                <w:sz w:val="11"/>
                <w:szCs w:val="11"/>
              </w:rPr>
            </w:pPr>
            <w:proofErr w:type="spellStart"/>
            <w:r w:rsidRPr="00F36593">
              <w:rPr>
                <w:rFonts w:ascii="Arial" w:hAnsi="Arial" w:cs="Arial"/>
                <w:color w:val="333333"/>
                <w:sz w:val="11"/>
                <w:szCs w:val="11"/>
              </w:rPr>
              <w:t>Qui</w:t>
            </w:r>
            <w:proofErr w:type="spellEnd"/>
            <w:r w:rsidRPr="00F36593">
              <w:rPr>
                <w:rFonts w:ascii="Arial" w:hAnsi="Arial" w:cs="Arial"/>
                <w:color w:val="333333"/>
                <w:sz w:val="11"/>
                <w:szCs w:val="11"/>
              </w:rPr>
              <w:t xml:space="preserve">, 27 de Setembro de 2012 </w:t>
            </w:r>
            <w:proofErr w:type="gramStart"/>
            <w:r w:rsidRPr="00F36593">
              <w:rPr>
                <w:rFonts w:ascii="Arial" w:hAnsi="Arial" w:cs="Arial"/>
                <w:color w:val="333333"/>
                <w:sz w:val="11"/>
                <w:szCs w:val="11"/>
              </w:rPr>
              <w:t>00:00</w:t>
            </w:r>
            <w:proofErr w:type="gramEnd"/>
            <w:r w:rsidRPr="00F36593">
              <w:rPr>
                <w:rFonts w:ascii="Arial" w:hAnsi="Arial" w:cs="Arial"/>
                <w:color w:val="333333"/>
                <w:sz w:val="11"/>
                <w:szCs w:val="11"/>
              </w:rPr>
              <w:t xml:space="preserve"> </w:t>
            </w:r>
          </w:p>
        </w:tc>
      </w:tr>
      <w:tr w:rsidR="00F36593" w:rsidRPr="00F36593" w:rsidTr="00F36593">
        <w:trPr>
          <w:tblCellSpacing w:w="15" w:type="dxa"/>
        </w:trPr>
        <w:tc>
          <w:tcPr>
            <w:tcW w:w="0" w:type="auto"/>
            <w:hideMark/>
          </w:tcPr>
          <w:p w:rsidR="00F36593" w:rsidRPr="00F36593" w:rsidRDefault="00F36593" w:rsidP="00F36593">
            <w:pPr>
              <w:spacing w:line="324" w:lineRule="auto"/>
              <w:jc w:val="center"/>
              <w:rPr>
                <w:rFonts w:ascii="Verdana" w:hAnsi="Verdana" w:cs="Arial"/>
                <w:color w:val="333333"/>
                <w:sz w:val="12"/>
                <w:szCs w:val="12"/>
              </w:rPr>
            </w:pPr>
            <w:r w:rsidRPr="00F36593">
              <w:rPr>
                <w:rFonts w:ascii="Verdana" w:hAnsi="Verdana" w:cs="Arial"/>
                <w:color w:val="333333"/>
                <w:sz w:val="12"/>
                <w:szCs w:val="12"/>
              </w:rPr>
              <w:t>PORTARIA Nº 1.030, DE 26 DE SETEMBRO DE 2012</w:t>
            </w:r>
          </w:p>
          <w:p w:rsidR="00F36593" w:rsidRPr="00F36593" w:rsidRDefault="00F36593" w:rsidP="00F36593">
            <w:pPr>
              <w:spacing w:before="101" w:after="152" w:line="324" w:lineRule="auto"/>
              <w:ind w:firstLine="708"/>
              <w:jc w:val="both"/>
              <w:rPr>
                <w:color w:val="333333"/>
              </w:rPr>
            </w:pPr>
            <w:r w:rsidRPr="00F36593">
              <w:rPr>
                <w:color w:val="333333"/>
              </w:rPr>
              <w:t xml:space="preserve">O Secretário de Atenção à Saúde, no uso de suas atribuições, e </w:t>
            </w:r>
            <w:proofErr w:type="spellStart"/>
            <w:r w:rsidRPr="00F36593">
              <w:rPr>
                <w:color w:val="333333"/>
              </w:rPr>
              <w:t>consid</w:t>
            </w:r>
            <w:proofErr w:type="spellEnd"/>
            <w:r w:rsidRPr="00F36593">
              <w:rPr>
                <w:color w:val="333333"/>
              </w:rPr>
              <w:t xml:space="preserve"> </w:t>
            </w:r>
            <w:proofErr w:type="spellStart"/>
            <w:r w:rsidRPr="00F36593">
              <w:rPr>
                <w:color w:val="333333"/>
              </w:rPr>
              <w:t>erando</w:t>
            </w:r>
            <w:proofErr w:type="spellEnd"/>
            <w:r w:rsidRPr="00F36593">
              <w:rPr>
                <w:color w:val="333333"/>
              </w:rPr>
              <w:t xml:space="preserve"> a Portaria nº 854/SAS/MS, de 22 de agosto de 2012, que altera e acresce procedimentos na Tabela de Procedimentos Medicamentos </w:t>
            </w:r>
            <w:proofErr w:type="spellStart"/>
            <w:r w:rsidRPr="00F36593">
              <w:rPr>
                <w:color w:val="333333"/>
              </w:rPr>
              <w:t>Órteses</w:t>
            </w:r>
            <w:proofErr w:type="spellEnd"/>
            <w:r w:rsidRPr="00F36593">
              <w:rPr>
                <w:color w:val="333333"/>
              </w:rPr>
              <w:t xml:space="preserve">, Próteses e Materiais Especiais (OPM) do Sistema Único de Saúde (SUS) a fim de identificar, no âmbito Rede de Atenção Psicossocial, os procedimentos resultantes de ações de atenção a pessoas com sofrimento ou transtorno mental e com necessidades de saúde decorrentes do uso de álcool e </w:t>
            </w:r>
            <w:proofErr w:type="gramStart"/>
            <w:r w:rsidRPr="00F36593">
              <w:rPr>
                <w:color w:val="333333"/>
              </w:rPr>
              <w:t>outras drogas, resolve</w:t>
            </w:r>
            <w:proofErr w:type="gramEnd"/>
            <w:r w:rsidRPr="00F36593">
              <w:rPr>
                <w:color w:val="333333"/>
              </w:rPr>
              <w:t>:</w:t>
            </w:r>
          </w:p>
          <w:p w:rsidR="00F36593" w:rsidRPr="00F36593" w:rsidRDefault="00F36593" w:rsidP="00F36593">
            <w:pPr>
              <w:spacing w:before="101" w:after="152" w:line="324" w:lineRule="auto"/>
              <w:ind w:firstLine="708"/>
              <w:jc w:val="both"/>
              <w:rPr>
                <w:color w:val="333333"/>
              </w:rPr>
            </w:pPr>
            <w:r w:rsidRPr="00F36593">
              <w:rPr>
                <w:color w:val="333333"/>
              </w:rPr>
              <w:t xml:space="preserve">Art. 1º O art. 3º da Portaria nº 854/SAS/MS, de 22 de agosto de 2012, passa a vigorar com a seguinte redação: "Art. 3º Definir que, em acordo com §2º do artigo 2º da Portaria nº 3.089/GM/MS, de 23 de dezembro de 2011, os tipos de estabelecimentos: 70 - Centro de Atenção Psicossocial (CAPS) preencham obrigatoriamente Ficha Cadastral de Estabelecimento de Saúde (FCES) Complementar número 35, no SCNES e atualizem as informações de endereço e de equipe vinculada à unidade, a partir da competência Setembro/2012, conforme formulário modelo e orientação de preenchimento, </w:t>
            </w:r>
            <w:proofErr w:type="gramStart"/>
            <w:r w:rsidRPr="00F36593">
              <w:rPr>
                <w:color w:val="333333"/>
              </w:rPr>
              <w:t>anexos I e II desta Portaria</w:t>
            </w:r>
            <w:proofErr w:type="gramEnd"/>
            <w:r w:rsidRPr="00F36593">
              <w:rPr>
                <w:color w:val="333333"/>
              </w:rPr>
              <w:t>.</w:t>
            </w:r>
          </w:p>
          <w:p w:rsidR="00F36593" w:rsidRPr="00F36593" w:rsidRDefault="00F36593" w:rsidP="00F36593">
            <w:pPr>
              <w:spacing w:before="101" w:after="152" w:line="324" w:lineRule="auto"/>
              <w:ind w:firstLine="708"/>
              <w:jc w:val="both"/>
              <w:rPr>
                <w:color w:val="333333"/>
              </w:rPr>
            </w:pPr>
            <w:r w:rsidRPr="00F36593">
              <w:rPr>
                <w:color w:val="333333"/>
              </w:rPr>
              <w:t>Parágrafo único: Caberá às SES, SMS e ao Distrito Federal efetivarem a adequação dos cadastros dos estabelecimentos de saúde: 70 - Centros de Atenção Psicossocial (CAPS) no SCNES que se enquadrem no disposto deste artigo, nas competências Setembro/2012 e Outubro/2012. Após este período os cadastros que não forem adequados ficarão com "status" e inconsistentes</w:t>
            </w:r>
            <w:proofErr w:type="gramStart"/>
            <w:r w:rsidRPr="00F36593">
              <w:rPr>
                <w:color w:val="333333"/>
              </w:rPr>
              <w:t>/pendentes na base de dados do SCNES local e nacional"</w:t>
            </w:r>
            <w:proofErr w:type="gramEnd"/>
            <w:r w:rsidRPr="00F36593">
              <w:rPr>
                <w:color w:val="333333"/>
              </w:rPr>
              <w:t xml:space="preserve"> (NR).</w:t>
            </w:r>
          </w:p>
          <w:p w:rsidR="00F36593" w:rsidRPr="00F36593" w:rsidRDefault="00F36593" w:rsidP="00F36593">
            <w:pPr>
              <w:spacing w:before="101" w:after="152" w:line="324" w:lineRule="auto"/>
              <w:ind w:firstLine="708"/>
              <w:jc w:val="both"/>
              <w:rPr>
                <w:color w:val="333333"/>
              </w:rPr>
            </w:pPr>
            <w:r w:rsidRPr="00F36593">
              <w:rPr>
                <w:color w:val="333333"/>
              </w:rPr>
              <w:t>Art. 2º Esta Portaria entra em vigor na data de sua publicação.</w:t>
            </w:r>
          </w:p>
          <w:p w:rsidR="00F36593" w:rsidRPr="00F36593" w:rsidRDefault="00F36593" w:rsidP="00F36593">
            <w:pPr>
              <w:spacing w:before="101" w:after="152" w:line="324" w:lineRule="auto"/>
              <w:jc w:val="center"/>
              <w:rPr>
                <w:color w:val="333333"/>
              </w:rPr>
            </w:pPr>
            <w:r w:rsidRPr="00F36593">
              <w:rPr>
                <w:color w:val="333333"/>
              </w:rPr>
              <w:t>HELVÉCIO MIRANDA MAGALHÃES JÚNIOR</w:t>
            </w:r>
          </w:p>
        </w:tc>
      </w:tr>
    </w:tbl>
    <w:p w:rsidR="00165222" w:rsidRDefault="00165222"/>
    <w:sectPr w:rsidR="00165222" w:rsidSect="0016522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characterSpacingControl w:val="doNotCompress"/>
  <w:compat/>
  <w:rsids>
    <w:rsidRoot w:val="00F36593"/>
    <w:rsid w:val="00165222"/>
    <w:rsid w:val="007A3F0F"/>
    <w:rsid w:val="00EF46E9"/>
    <w:rsid w:val="00F365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semiHidden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3F0F"/>
    <w:pPr>
      <w:spacing w:after="0" w:line="240" w:lineRule="auto"/>
    </w:pPr>
    <w:rPr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99"/>
    <w:qFormat/>
    <w:rsid w:val="007A3F0F"/>
    <w:rPr>
      <w:rFonts w:cs="Times New Roman"/>
      <w:b/>
      <w:bCs/>
    </w:rPr>
  </w:style>
  <w:style w:type="paragraph" w:styleId="PargrafodaLista">
    <w:name w:val="List Paragraph"/>
    <w:basedOn w:val="Normal"/>
    <w:uiPriority w:val="99"/>
    <w:qFormat/>
    <w:rsid w:val="007A3F0F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36593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3659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21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16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8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146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79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6758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9107630">
                              <w:marLeft w:val="152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2819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2634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9093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046360">
                                              <w:marLeft w:val="0"/>
                                              <w:marRight w:val="0"/>
                                              <w:marTop w:val="203"/>
                                              <w:marBottom w:val="20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78424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06628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rasilsus.com.br/component/mailto/?tmpl=component&amp;link=aHR0cDovL3d3dy5icmFzaWxzdXMuY29tLmJyL2xlZ2lzbGFjb2VzL3Nhcy8xMTUzMjUtMTAzMC5odG1s" TargetMode="External"/><Relationship Id="rId5" Type="http://schemas.openxmlformats.org/officeDocument/2006/relationships/image" Target="media/image1.png"/><Relationship Id="rId4" Type="http://schemas.openxmlformats.org/officeDocument/2006/relationships/hyperlink" Target="http://www.brasilsus.com.br/legislacoes/sas/115325-1030.html?tmpl=component&amp;print=1&amp;page=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280</Words>
  <Characters>1518</Characters>
  <Application>Microsoft Office Word</Application>
  <DocSecurity>0</DocSecurity>
  <Lines>12</Lines>
  <Paragraphs>3</Paragraphs>
  <ScaleCrop>false</ScaleCrop>
  <Company/>
  <LinksUpToDate>false</LinksUpToDate>
  <CharactersWithSpaces>1795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Santosmr</dc:creator>
  <cp:lastModifiedBy>Santosmr</cp:lastModifiedBy>
  <cp:revision>1</cp:revision>
  <dcterms:created xsi:type="dcterms:W3CDTF">2012-09-28T15:57:00Z</dcterms:created>
  <dcterms:modified xsi:type="dcterms:W3CDTF">2012-09-28T15:58:00Z</dcterms:modified>
</cp:coreProperties>
</file>