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00C" w:rsidRPr="0097300C" w:rsidRDefault="0097300C" w:rsidP="0097300C">
      <w:pPr>
        <w:autoSpaceDE w:val="0"/>
        <w:autoSpaceDN w:val="0"/>
        <w:adjustRightInd w:val="0"/>
        <w:rPr>
          <w:b/>
          <w:bCs/>
          <w:color w:val="282526"/>
          <w:sz w:val="22"/>
          <w:szCs w:val="22"/>
        </w:rPr>
      </w:pPr>
      <w:r w:rsidRPr="0097300C">
        <w:rPr>
          <w:b/>
          <w:bCs/>
          <w:color w:val="282526"/>
          <w:sz w:val="22"/>
          <w:szCs w:val="22"/>
        </w:rPr>
        <w:t>PORTARIA Nº 1.032, DE 26 DE SETEMBRO DE 2012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O Secretário de Atenção à Saúde, no uso de suas atribuições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e</w:t>
      </w:r>
      <w:proofErr w:type="gramEnd"/>
      <w:r w:rsidRPr="0097300C">
        <w:rPr>
          <w:color w:val="000000"/>
          <w:sz w:val="22"/>
          <w:szCs w:val="22"/>
        </w:rPr>
        <w:t xml:space="preserve"> considerando a Portaria nº 856/SAS/MS, de 22 de agosto de 2012,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que</w:t>
      </w:r>
      <w:proofErr w:type="gramEnd"/>
      <w:r w:rsidRPr="0097300C">
        <w:rPr>
          <w:color w:val="000000"/>
          <w:sz w:val="22"/>
          <w:szCs w:val="22"/>
        </w:rPr>
        <w:t xml:space="preserve"> define mecanismos para operacionalização dos procedimentos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específicos</w:t>
      </w:r>
      <w:proofErr w:type="gramEnd"/>
      <w:r w:rsidRPr="0097300C">
        <w:rPr>
          <w:color w:val="000000"/>
          <w:sz w:val="22"/>
          <w:szCs w:val="22"/>
        </w:rPr>
        <w:t xml:space="preserve"> para a atenção residencial às pessoas com necessidades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decorrentes</w:t>
      </w:r>
      <w:proofErr w:type="gramEnd"/>
      <w:r w:rsidRPr="0097300C">
        <w:rPr>
          <w:color w:val="000000"/>
          <w:sz w:val="22"/>
          <w:szCs w:val="22"/>
        </w:rPr>
        <w:t xml:space="preserve"> do uso de álcool, </w:t>
      </w:r>
      <w:proofErr w:type="spellStart"/>
      <w:r w:rsidRPr="0097300C">
        <w:rPr>
          <w:color w:val="000000"/>
          <w:sz w:val="22"/>
          <w:szCs w:val="22"/>
        </w:rPr>
        <w:t>crack</w:t>
      </w:r>
      <w:proofErr w:type="spellEnd"/>
      <w:r w:rsidRPr="0097300C">
        <w:rPr>
          <w:color w:val="000000"/>
          <w:sz w:val="22"/>
          <w:szCs w:val="22"/>
        </w:rPr>
        <w:t xml:space="preserve"> e outras drogas, realizados em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serviços</w:t>
      </w:r>
      <w:proofErr w:type="gramEnd"/>
      <w:r w:rsidRPr="0097300C">
        <w:rPr>
          <w:color w:val="000000"/>
          <w:sz w:val="22"/>
          <w:szCs w:val="22"/>
        </w:rPr>
        <w:t xml:space="preserve"> de atenção em regime residencial da Rede de Atenção Psicossocial,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resolve</w:t>
      </w:r>
      <w:proofErr w:type="gramEnd"/>
      <w:r w:rsidRPr="0097300C">
        <w:rPr>
          <w:color w:val="000000"/>
          <w:sz w:val="22"/>
          <w:szCs w:val="22"/>
        </w:rPr>
        <w:t>: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Art. 1º O §3º do Art. 4ª da Portaria nº 856/SAS/MS, de 22 de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agosto</w:t>
      </w:r>
      <w:proofErr w:type="gramEnd"/>
      <w:r w:rsidRPr="0097300C">
        <w:rPr>
          <w:color w:val="000000"/>
          <w:sz w:val="22"/>
          <w:szCs w:val="22"/>
        </w:rPr>
        <w:t xml:space="preserve"> de 2012, passa a vigorar com a seguinte redação: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"§3º Os referidos procedimentos deverão ser registrados a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partir</w:t>
      </w:r>
      <w:proofErr w:type="gramEnd"/>
      <w:r w:rsidRPr="0097300C">
        <w:rPr>
          <w:color w:val="000000"/>
          <w:sz w:val="22"/>
          <w:szCs w:val="22"/>
        </w:rPr>
        <w:t xml:space="preserve"> da competência Outubro/2012, posterior à publicação de portaria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específica</w:t>
      </w:r>
      <w:proofErr w:type="gramEnd"/>
      <w:r w:rsidRPr="0097300C">
        <w:rPr>
          <w:color w:val="000000"/>
          <w:sz w:val="22"/>
          <w:szCs w:val="22"/>
        </w:rPr>
        <w:t xml:space="preserve"> de normatização dos novos Instrumentos de Registro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apontados</w:t>
      </w:r>
      <w:proofErr w:type="gramEnd"/>
      <w:r w:rsidRPr="0097300C">
        <w:rPr>
          <w:color w:val="000000"/>
          <w:sz w:val="22"/>
          <w:szCs w:val="22"/>
        </w:rPr>
        <w:t>" (NR).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Art. 2º O Art. 7º da Portaria nº 856/SAS/MS, de 22 de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agosto</w:t>
      </w:r>
      <w:proofErr w:type="gramEnd"/>
      <w:r w:rsidRPr="0097300C">
        <w:rPr>
          <w:color w:val="000000"/>
          <w:sz w:val="22"/>
          <w:szCs w:val="22"/>
        </w:rPr>
        <w:t xml:space="preserve"> de 2012, passa a vigorar com a seguinte redação: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"Art. 7º Fica definido que os tipos de estabelecimentos 78 -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Unidade de Atenção em Regime Residencial preencham obrigatoriamente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Ficha Cadastral de Estabelecimento de Saúde (FCES)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Complementar número 34, no SCNES, no que tange os dados de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Saúde Mental, a partir da competência Setembro/2012, conforme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 xml:space="preserve">FCES modelo e orientação de preenchimento, </w:t>
      </w:r>
      <w:proofErr w:type="gramStart"/>
      <w:r w:rsidRPr="0097300C">
        <w:rPr>
          <w:color w:val="000000"/>
          <w:sz w:val="22"/>
          <w:szCs w:val="22"/>
        </w:rPr>
        <w:t>anexos I e II desta</w:t>
      </w:r>
      <w:proofErr w:type="gramEnd"/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97300C">
        <w:rPr>
          <w:color w:val="000000"/>
          <w:sz w:val="22"/>
          <w:szCs w:val="22"/>
        </w:rPr>
        <w:t>Portaria"</w:t>
      </w:r>
      <w:proofErr w:type="gramEnd"/>
      <w:r w:rsidRPr="0097300C">
        <w:rPr>
          <w:color w:val="000000"/>
          <w:sz w:val="22"/>
          <w:szCs w:val="22"/>
        </w:rPr>
        <w:t>(NR).</w:t>
      </w:r>
    </w:p>
    <w:p w:rsidR="0097300C" w:rsidRPr="0097300C" w:rsidRDefault="0097300C" w:rsidP="0097300C">
      <w:pPr>
        <w:autoSpaceDE w:val="0"/>
        <w:autoSpaceDN w:val="0"/>
        <w:adjustRightInd w:val="0"/>
        <w:rPr>
          <w:color w:val="000000"/>
          <w:sz w:val="22"/>
          <w:szCs w:val="22"/>
        </w:rPr>
      </w:pPr>
      <w:r w:rsidRPr="0097300C">
        <w:rPr>
          <w:color w:val="000000"/>
          <w:sz w:val="22"/>
          <w:szCs w:val="22"/>
        </w:rPr>
        <w:t>Art. 3º Esta Portaria entra em vigor na data de sua publicação.</w:t>
      </w:r>
    </w:p>
    <w:p w:rsidR="00165222" w:rsidRPr="0097300C" w:rsidRDefault="0097300C" w:rsidP="0097300C">
      <w:pPr>
        <w:rPr>
          <w:sz w:val="22"/>
          <w:szCs w:val="22"/>
        </w:rPr>
      </w:pPr>
      <w:r w:rsidRPr="0097300C">
        <w:rPr>
          <w:color w:val="343334"/>
          <w:sz w:val="22"/>
          <w:szCs w:val="22"/>
        </w:rPr>
        <w:t>HELVÉCIO MIRANDA MAGALHÃES JÚNIOR</w:t>
      </w:r>
    </w:p>
    <w:sectPr w:rsidR="00165222" w:rsidRPr="0097300C" w:rsidSect="001652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97300C"/>
    <w:rsid w:val="00165222"/>
    <w:rsid w:val="007A3F0F"/>
    <w:rsid w:val="0097300C"/>
    <w:rsid w:val="00B17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F0F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99"/>
    <w:qFormat/>
    <w:rsid w:val="007A3F0F"/>
    <w:rPr>
      <w:rFonts w:cs="Times New Roman"/>
      <w:b/>
      <w:bCs/>
    </w:rPr>
  </w:style>
  <w:style w:type="paragraph" w:styleId="PargrafodaLista">
    <w:name w:val="List Paragraph"/>
    <w:basedOn w:val="Normal"/>
    <w:uiPriority w:val="99"/>
    <w:qFormat/>
    <w:rsid w:val="007A3F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2012-09-28T16:09:00Z</dcterms:created>
  <dcterms:modified xsi:type="dcterms:W3CDTF">2012-09-28T16:11:00Z</dcterms:modified>
</cp:coreProperties>
</file>