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29" w:rsidRPr="00F77229" w:rsidRDefault="00F77229" w:rsidP="00F77229">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noProof/>
          <w:sz w:val="24"/>
          <w:szCs w:val="24"/>
          <w:lang w:eastAsia="pt-BR"/>
        </w:rPr>
        <w:drawing>
          <wp:inline distT="0" distB="0" distL="0" distR="0">
            <wp:extent cx="552450" cy="581025"/>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1025"/>
                    </a:xfrm>
                    <a:prstGeom prst="rect">
                      <a:avLst/>
                    </a:prstGeom>
                    <a:noFill/>
                    <a:ln w="9525">
                      <a:noFill/>
                      <a:miter lim="800000"/>
                      <a:headEnd/>
                      <a:tailEnd/>
                    </a:ln>
                  </pic:spPr>
                </pic:pic>
              </a:graphicData>
            </a:graphic>
          </wp:inline>
        </w:drawing>
      </w:r>
    </w:p>
    <w:p w:rsidR="00F77229" w:rsidRPr="00F77229" w:rsidRDefault="00F77229" w:rsidP="00F77229">
      <w:pPr>
        <w:spacing w:after="0"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Ministério da Saúde</w:t>
      </w:r>
      <w:r w:rsidRPr="00F77229">
        <w:rPr>
          <w:rFonts w:ascii="Times New Roman" w:eastAsia="Times New Roman" w:hAnsi="Times New Roman" w:cs="Times New Roman"/>
          <w:sz w:val="24"/>
          <w:szCs w:val="24"/>
          <w:lang w:eastAsia="pt-BR"/>
        </w:rPr>
        <w:br/>
        <w:t>Gabinete do Ministro</w:t>
      </w:r>
    </w:p>
    <w:p w:rsidR="00F77229" w:rsidRPr="00F77229" w:rsidRDefault="00F77229" w:rsidP="00F77229">
      <w:pPr>
        <w:spacing w:before="100" w:beforeAutospacing="1" w:after="100" w:afterAutospacing="1" w:line="240" w:lineRule="auto"/>
        <w:outlineLvl w:val="0"/>
        <w:rPr>
          <w:rFonts w:ascii="Times New Roman" w:eastAsia="Times New Roman" w:hAnsi="Times New Roman" w:cs="Times New Roman"/>
          <w:b/>
          <w:bCs/>
          <w:kern w:val="36"/>
          <w:sz w:val="48"/>
          <w:szCs w:val="48"/>
          <w:lang w:eastAsia="pt-BR"/>
        </w:rPr>
      </w:pPr>
      <w:r w:rsidRPr="00F77229">
        <w:rPr>
          <w:rFonts w:ascii="Times New Roman" w:eastAsia="Times New Roman" w:hAnsi="Times New Roman" w:cs="Times New Roman"/>
          <w:b/>
          <w:bCs/>
          <w:kern w:val="36"/>
          <w:sz w:val="48"/>
          <w:szCs w:val="48"/>
          <w:lang w:eastAsia="pt-BR"/>
        </w:rPr>
        <w:t>PORTARIA Nº 281, DE 27 DE FEVEREIRO DE 2014</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Institui o Sistema de Apoio à </w:t>
      </w:r>
      <w:proofErr w:type="gramStart"/>
      <w:r w:rsidRPr="00F77229">
        <w:rPr>
          <w:rFonts w:ascii="Times New Roman" w:eastAsia="Times New Roman" w:hAnsi="Times New Roman" w:cs="Times New Roman"/>
          <w:sz w:val="24"/>
          <w:szCs w:val="24"/>
          <w:lang w:eastAsia="pt-BR"/>
        </w:rPr>
        <w:t>Implementação</w:t>
      </w:r>
      <w:proofErr w:type="gramEnd"/>
      <w:r w:rsidRPr="00F77229">
        <w:rPr>
          <w:rFonts w:ascii="Times New Roman" w:eastAsia="Times New Roman" w:hAnsi="Times New Roman" w:cs="Times New Roman"/>
          <w:sz w:val="24"/>
          <w:szCs w:val="24"/>
          <w:lang w:eastAsia="pt-BR"/>
        </w:rPr>
        <w:t xml:space="preserve"> de Políticas em Saúde (SAIPS) </w:t>
      </w:r>
      <w:proofErr w:type="spellStart"/>
      <w:r w:rsidRPr="00F77229">
        <w:rPr>
          <w:rFonts w:ascii="Times New Roman" w:eastAsia="Times New Roman" w:hAnsi="Times New Roman" w:cs="Times New Roman"/>
          <w:sz w:val="24"/>
          <w:szCs w:val="24"/>
          <w:lang w:eastAsia="pt-BR"/>
        </w:rPr>
        <w:t>noâmbito</w:t>
      </w:r>
      <w:proofErr w:type="spellEnd"/>
      <w:r w:rsidRPr="00F77229">
        <w:rPr>
          <w:rFonts w:ascii="Times New Roman" w:eastAsia="Times New Roman" w:hAnsi="Times New Roman" w:cs="Times New Roman"/>
          <w:sz w:val="24"/>
          <w:szCs w:val="24"/>
          <w:lang w:eastAsia="pt-BR"/>
        </w:rPr>
        <w:t xml:space="preserve"> do Sistema Único de Saúde (SUS).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O MINISTRO DE ESTADO DA SAÚDE, no uso das atribuições que lhe conferem </w:t>
      </w:r>
      <w:proofErr w:type="gramStart"/>
      <w:r w:rsidRPr="00F77229">
        <w:rPr>
          <w:rFonts w:ascii="Times New Roman" w:eastAsia="Times New Roman" w:hAnsi="Times New Roman" w:cs="Times New Roman"/>
          <w:sz w:val="24"/>
          <w:szCs w:val="24"/>
          <w:lang w:eastAsia="pt-BR"/>
        </w:rPr>
        <w:t>os incisos I e II do parágrafo único do art.</w:t>
      </w:r>
      <w:proofErr w:type="gramEnd"/>
      <w:r w:rsidRPr="00F77229">
        <w:rPr>
          <w:rFonts w:ascii="Times New Roman" w:eastAsia="Times New Roman" w:hAnsi="Times New Roman" w:cs="Times New Roman"/>
          <w:sz w:val="24"/>
          <w:szCs w:val="24"/>
          <w:lang w:eastAsia="pt-BR"/>
        </w:rPr>
        <w:t xml:space="preserve"> 87 da Constituição, 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Considerando a Lei nº 8.080, de 19 de setembro de 1990, que dispõe sobre as condições para a promoção, proteção e recuperação da saúde, a organização e o funcionamento dos serviços correspondentes e dá outras providências;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Considerando a Lei nº 8.142, de 28 de dezembro de 1990, que dispõe sobre a participação da comunidade na gestão do </w:t>
      </w:r>
      <w:proofErr w:type="spellStart"/>
      <w:proofErr w:type="gramStart"/>
      <w:r w:rsidRPr="00F77229">
        <w:rPr>
          <w:rFonts w:ascii="Times New Roman" w:eastAsia="Times New Roman" w:hAnsi="Times New Roman" w:cs="Times New Roman"/>
          <w:sz w:val="24"/>
          <w:szCs w:val="24"/>
          <w:lang w:eastAsia="pt-BR"/>
        </w:rPr>
        <w:t>SistemaÚnico</w:t>
      </w:r>
      <w:proofErr w:type="spellEnd"/>
      <w:proofErr w:type="gramEnd"/>
      <w:r w:rsidRPr="00F77229">
        <w:rPr>
          <w:rFonts w:ascii="Times New Roman" w:eastAsia="Times New Roman" w:hAnsi="Times New Roman" w:cs="Times New Roman"/>
          <w:sz w:val="24"/>
          <w:szCs w:val="24"/>
          <w:lang w:eastAsia="pt-BR"/>
        </w:rPr>
        <w:t xml:space="preserve"> de Saúde (SUS) e sobre as transferências intergovernamentais de recursos financeiros na área da saúde;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Considerando a Lei Complementar nº 141, de 13 de janeiro de 2012, que regulamenta o § 3º do art. 198 da Constituição Federal para dispor sobre os valores mínimos a serem aplicados anualmente pela União, Estados, Distrito Federal e Municípios em ações e serviços públicos de saúde; estabelece os critérios de rateio dos recursos de transferências para a saúde e as normas de fiscalização, avaliação e controle das despesas com saúde nas </w:t>
      </w:r>
      <w:proofErr w:type="gramStart"/>
      <w:r w:rsidRPr="00F77229">
        <w:rPr>
          <w:rFonts w:ascii="Times New Roman" w:eastAsia="Times New Roman" w:hAnsi="Times New Roman" w:cs="Times New Roman"/>
          <w:sz w:val="24"/>
          <w:szCs w:val="24"/>
          <w:lang w:eastAsia="pt-BR"/>
        </w:rPr>
        <w:t>3</w:t>
      </w:r>
      <w:proofErr w:type="gramEnd"/>
      <w:r w:rsidRPr="00F77229">
        <w:rPr>
          <w:rFonts w:ascii="Times New Roman" w:eastAsia="Times New Roman" w:hAnsi="Times New Roman" w:cs="Times New Roman"/>
          <w:sz w:val="24"/>
          <w:szCs w:val="24"/>
          <w:lang w:eastAsia="pt-BR"/>
        </w:rPr>
        <w:t xml:space="preserve"> (três) esferas de governo;</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Considerando o Decreto nº 1.232, de 30 de agosto de 1994, que dispõe sobre as condições e a forma de repasse regular e automático de recursos do Fundo Nacional de Saúde para os Fundos de Saúde Estaduais, Municipais e do Distrito Federal, e dá outras providências;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Considerando o Decreto nº 1.651, de 28 de setembro de 1995, que regulamenta o Sistema Nacional de Auditoria no âmbito do SUS;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Considerando a Portaria nº 204/GM/MS, de 29 de janeiro de 2007, que regulamenta o financiamento e a transferência dos recursos federais para as ações e os serviços de saúde, na forma de blocos de financiamento, com o respectivo monitoramento e controle; 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Considerando a necessidade de se formalizar o Sistema que visa aperfeiçoar as solicitações de transferências de recursos ou credenciamento/ habilitação de serviços necessários à implantação de políticas em saúde, permitindo transparência, agilidade, organização e monitoramento das solicitações, resolve: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lastRenderedPageBreak/>
        <w:t xml:space="preserve">Art. 1º Fica instituído o Sistema de Apoio à </w:t>
      </w:r>
      <w:proofErr w:type="gramStart"/>
      <w:r w:rsidRPr="00F77229">
        <w:rPr>
          <w:rFonts w:ascii="Times New Roman" w:eastAsia="Times New Roman" w:hAnsi="Times New Roman" w:cs="Times New Roman"/>
          <w:sz w:val="24"/>
          <w:szCs w:val="24"/>
          <w:lang w:eastAsia="pt-BR"/>
        </w:rPr>
        <w:t>Implementação</w:t>
      </w:r>
      <w:proofErr w:type="gramEnd"/>
      <w:r w:rsidRPr="00F77229">
        <w:rPr>
          <w:rFonts w:ascii="Times New Roman" w:eastAsia="Times New Roman" w:hAnsi="Times New Roman" w:cs="Times New Roman"/>
          <w:sz w:val="24"/>
          <w:szCs w:val="24"/>
          <w:lang w:eastAsia="pt-BR"/>
        </w:rPr>
        <w:t xml:space="preserve"> de Políticas em Saúde (SAIPS) no âmbito do Sistema Único de Saúde (SUS).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2º O SAIPS tem por objetivo aperfeiçoar as solicitações de transferências de recursos financeiros ou credenciamento/habilitação de serviços necessários à implantação de políticas em saúde, permitindo transparência, agilidade, organização e monitoramento das solicitações.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3º As modalidades de transferência de recursos financeiros que poderão ser solicitadas através do SAIPS são as seguintes: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 - incentivo: recurso da categoria econômica corrente ou capital destinado à implantação de serviço ou componente de rede, transferido em parcela única do Fundo Nacional de Saúde para os Fundos de Saúde dos Estados, do Distrito Federal ou dos Municípios, após publicação de Portaria específica ou solicitação de órgão do Ministério da Saúde ao Fundo Nacional de Saúde;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II - custeio: recurso da categoria econômica corrente, transferido mensalmente do Fundo Nacional de Saúde para o Fundo de Saúde dos Estados, do Distrito Federal ou dos Municípios, após publicação de Portaria específica; 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III - habilitação ou credenciamento: formalização mediante Portaria específica de serviço de saúde executado pelo estabelecimento de saúde, equipe, ou serviço/componente de rede enquanto prestadores ou integrantes do SUS.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4º A implantação do SAIPS será realizada de maneira gradual.</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 1º O SAIPS pode ser acessado pelos sítios eletrônicos www.fns.saude.gov.br ou </w:t>
      </w:r>
      <w:proofErr w:type="spellStart"/>
      <w:proofErr w:type="gramStart"/>
      <w:r w:rsidRPr="00F77229">
        <w:rPr>
          <w:rFonts w:ascii="Times New Roman" w:eastAsia="Times New Roman" w:hAnsi="Times New Roman" w:cs="Times New Roman"/>
          <w:sz w:val="24"/>
          <w:szCs w:val="24"/>
          <w:lang w:eastAsia="pt-BR"/>
        </w:rPr>
        <w:t>saips</w:t>
      </w:r>
      <w:proofErr w:type="spellEnd"/>
      <w:r w:rsidRPr="00F77229">
        <w:rPr>
          <w:rFonts w:ascii="Times New Roman" w:eastAsia="Times New Roman" w:hAnsi="Times New Roman" w:cs="Times New Roman"/>
          <w:sz w:val="24"/>
          <w:szCs w:val="24"/>
          <w:lang w:eastAsia="pt-BR"/>
        </w:rPr>
        <w:t>.</w:t>
      </w:r>
      <w:proofErr w:type="spellStart"/>
      <w:proofErr w:type="gramEnd"/>
      <w:r w:rsidRPr="00F77229">
        <w:rPr>
          <w:rFonts w:ascii="Times New Roman" w:eastAsia="Times New Roman" w:hAnsi="Times New Roman" w:cs="Times New Roman"/>
          <w:sz w:val="24"/>
          <w:szCs w:val="24"/>
          <w:lang w:eastAsia="pt-BR"/>
        </w:rPr>
        <w:t>saude</w:t>
      </w:r>
      <w:proofErr w:type="spellEnd"/>
      <w:r w:rsidRPr="00F77229">
        <w:rPr>
          <w:rFonts w:ascii="Times New Roman" w:eastAsia="Times New Roman" w:hAnsi="Times New Roman" w:cs="Times New Roman"/>
          <w:sz w:val="24"/>
          <w:szCs w:val="24"/>
          <w:lang w:eastAsia="pt-BR"/>
        </w:rPr>
        <w:t>.gov.br.</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 2º A utilização do SAIPS será obrigatória para o cadastramento de propostas para componentes e serviços </w:t>
      </w:r>
      <w:proofErr w:type="gramStart"/>
      <w:r w:rsidRPr="00F77229">
        <w:rPr>
          <w:rFonts w:ascii="Times New Roman" w:eastAsia="Times New Roman" w:hAnsi="Times New Roman" w:cs="Times New Roman"/>
          <w:sz w:val="24"/>
          <w:szCs w:val="24"/>
          <w:lang w:eastAsia="pt-BR"/>
        </w:rPr>
        <w:t>cuja solicitações</w:t>
      </w:r>
      <w:proofErr w:type="gramEnd"/>
      <w:r w:rsidRPr="00F77229">
        <w:rPr>
          <w:rFonts w:ascii="Times New Roman" w:eastAsia="Times New Roman" w:hAnsi="Times New Roman" w:cs="Times New Roman"/>
          <w:sz w:val="24"/>
          <w:szCs w:val="24"/>
          <w:lang w:eastAsia="pt-BR"/>
        </w:rPr>
        <w:t xml:space="preserve"> de incentivos, custeio, habilitação ou credenciamento já estejam disponíveis.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3º Os processo e fluxos para componentes e serviços ainda não disponíveis no SAIPS para cadastro de propostas serão realizados conforme estabelecido nas respectivas Portarias instituidoras.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5º Os perfis de acesso, atribuições, fluxos e procedimentos para cadastro e monitoramento das propostas serão disponibilizados em manuais que poderão ser acessados no sítio eletrônico do SAIPS.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6º No caso de solicitação de incentivo ou custeio, o Cadastro Nacional da Pessoa Jurídica (CNPJ) do estabelecimento de saúde beneficiário deverá ser vinculado, obrigatoriamente, a um Fundo de Saúde Estadual, do Distrito Federal ou Municipal.</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7º As informações prestadas deverão guardar estrita consonância com o registro no Sistema Nacional de Cadastrado de Estabelecimento de Saúde (SCNES).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lastRenderedPageBreak/>
        <w:t>Art. 8º O cadastramento da proposta não gera quaisquer obrigações ao Ministério da Saúde em relação ao seu atendimento.</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1º As propostas enviadas ao Ministério da Saúde por intermédio do SAIPS serão analisadas conforme os critérios definidos para cada Rede, Programa ou Política.</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2º A área técnica responsável pela Rede, Programa ou Política analisará o mérito da solicitação, podendo indicar adequações, aprovar, aprovar com pendências a serem sanadas em prazo determinado ou rejeitar a proposta.</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3º O gestor público de saúde Estadual, do Distrito Federal ou Municipal deverá assegurar o monitoramento da execução de cronograma ou de solução de pendências definidas para as propostas.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9º A comprovação da aplicação dos recursos transferidos será apresentada no Relatório Anual de Gestão (RAG), previsto na Lei nº 8.142, de 28 de dezembro de 1990, e no Decreto nº 1.651, de 28 de setembro de 1995, e analisado pelo respectivo Conselho de Saúde Estadual, Distrital ou Municipal.</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10. O Sistema Nacional de Auditoria (SNA), com fundamento nos relatórios de gestão, acompanhará a conformidade da aplicação dos recursos transferidos, nos termos do disposto no art. 5º do Decreto nº 1.232, de 30 de agosto de 1994.</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11. Fica instituída a Comissão de Monitoramento do SAIPS, que será responsável pela manutenção do SAIPS e será composta por representantes, titulares e suplentes, dos seguintes órgãos: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 - 1 (um) representante do Departamento de Informática do SUS (DATASUS/SGEP/MS);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II - 1 (um) representante da Diretoria-Executiva do Fundo Nacional de Saúde (FNS/SE/MS);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III - 1 (um) representante do Gabinete do Secretário de Atenção à Saúde (GAB/SAS/MS);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IV - 1 (um) representante de cada Departamento da Secretaria de Atenção à Saúde (SAS/MS); 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V - 1 (um) representante do Gabinete do Secretário-Executivo (GAB/SE/MS).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1º A Comissão de Monitoramento do SAIPS será coordenada pelo representante do GAB/SAS/MS, que fornecerá o apoio administrativo necessário ao desenvolvimento das suas atividades.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2º Os representantes, titulares e suplentes, serão indicados pelos dirigentes de seus respectivos órgãos à Coordenação da Comissão no prazo de 15 (quinze) dias contado da data de publicação desta Portaria.</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lastRenderedPageBreak/>
        <w:t xml:space="preserve">§ 3º Os representantes de que tratam os incisos III e IV </w:t>
      </w:r>
      <w:proofErr w:type="gramStart"/>
      <w:r w:rsidRPr="00F77229">
        <w:rPr>
          <w:rFonts w:ascii="Times New Roman" w:eastAsia="Times New Roman" w:hAnsi="Times New Roman" w:cs="Times New Roman"/>
          <w:sz w:val="24"/>
          <w:szCs w:val="24"/>
          <w:lang w:eastAsia="pt-BR"/>
        </w:rPr>
        <w:t>do"</w:t>
      </w:r>
      <w:proofErr w:type="gramEnd"/>
      <w:r w:rsidRPr="00F77229">
        <w:rPr>
          <w:rFonts w:ascii="Times New Roman" w:eastAsia="Times New Roman" w:hAnsi="Times New Roman" w:cs="Times New Roman"/>
          <w:sz w:val="24"/>
          <w:szCs w:val="24"/>
          <w:lang w:eastAsia="pt-BR"/>
        </w:rPr>
        <w:t>caput" serão responsáveis pela administração do SAIPS.</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 xml:space="preserve">Art. 12. A Comissão de Monitoramento do SAIPS poderá convidar representantes de outros órgãos e entidades, públicas e privadas, bem como especialistas em assuntos ligados ao tema, cuja presença seja considerada necessária ao cumprimento do disposto </w:t>
      </w:r>
      <w:proofErr w:type="gramStart"/>
      <w:r w:rsidRPr="00F77229">
        <w:rPr>
          <w:rFonts w:ascii="Times New Roman" w:eastAsia="Times New Roman" w:hAnsi="Times New Roman" w:cs="Times New Roman"/>
          <w:sz w:val="24"/>
          <w:szCs w:val="24"/>
          <w:lang w:eastAsia="pt-BR"/>
        </w:rPr>
        <w:t>nesta</w:t>
      </w:r>
      <w:proofErr w:type="gramEnd"/>
      <w:r w:rsidRPr="00F77229">
        <w:rPr>
          <w:rFonts w:ascii="Times New Roman" w:eastAsia="Times New Roman" w:hAnsi="Times New Roman" w:cs="Times New Roman"/>
          <w:sz w:val="24"/>
          <w:szCs w:val="24"/>
          <w:lang w:eastAsia="pt-BR"/>
        </w:rPr>
        <w:t xml:space="preserve"> Portaria.</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13. As funções desempenhadas no âmbito da Comissão de Monitoramento do SAIPS não serão remuneradas e seu exercício será considerado serviço público relevante.</w:t>
      </w:r>
    </w:p>
    <w:p w:rsidR="00F77229" w:rsidRPr="00F77229" w:rsidRDefault="00F77229" w:rsidP="00F77229">
      <w:pPr>
        <w:spacing w:before="100" w:beforeAutospacing="1" w:after="100" w:afterAutospacing="1" w:line="240" w:lineRule="auto"/>
        <w:rPr>
          <w:rFonts w:ascii="Times New Roman" w:eastAsia="Times New Roman" w:hAnsi="Times New Roman" w:cs="Times New Roman"/>
          <w:sz w:val="24"/>
          <w:szCs w:val="24"/>
          <w:lang w:eastAsia="pt-BR"/>
        </w:rPr>
      </w:pPr>
      <w:r w:rsidRPr="00F77229">
        <w:rPr>
          <w:rFonts w:ascii="Times New Roman" w:eastAsia="Times New Roman" w:hAnsi="Times New Roman" w:cs="Times New Roman"/>
          <w:sz w:val="24"/>
          <w:szCs w:val="24"/>
          <w:lang w:eastAsia="pt-BR"/>
        </w:rPr>
        <w:t>Art. 14. Esta Portaria entra em vigor na data de sua publicação.</w:t>
      </w:r>
    </w:p>
    <w:p w:rsidR="00F77229" w:rsidRPr="00F77229" w:rsidRDefault="00F77229" w:rsidP="00F77229">
      <w:pPr>
        <w:spacing w:before="100" w:beforeAutospacing="1" w:after="100" w:afterAutospacing="1" w:line="240" w:lineRule="auto"/>
        <w:outlineLvl w:val="1"/>
        <w:rPr>
          <w:rFonts w:ascii="Times New Roman" w:eastAsia="Times New Roman" w:hAnsi="Times New Roman" w:cs="Times New Roman"/>
          <w:b/>
          <w:bCs/>
          <w:sz w:val="36"/>
          <w:szCs w:val="36"/>
          <w:lang w:eastAsia="pt-BR"/>
        </w:rPr>
      </w:pPr>
      <w:r w:rsidRPr="00F77229">
        <w:rPr>
          <w:rFonts w:ascii="Times New Roman" w:eastAsia="Times New Roman" w:hAnsi="Times New Roman" w:cs="Times New Roman"/>
          <w:b/>
          <w:bCs/>
          <w:sz w:val="36"/>
          <w:szCs w:val="36"/>
          <w:lang w:eastAsia="pt-BR"/>
        </w:rPr>
        <w:t xml:space="preserve">ARTHUR CHIORO </w:t>
      </w:r>
    </w:p>
    <w:p w:rsidR="00F77229" w:rsidRPr="00F77229" w:rsidRDefault="00F77229" w:rsidP="00F77229">
      <w:pPr>
        <w:spacing w:after="0" w:line="240" w:lineRule="auto"/>
        <w:rPr>
          <w:rFonts w:ascii="Times New Roman" w:eastAsia="Times New Roman" w:hAnsi="Times New Roman" w:cs="Times New Roman"/>
          <w:sz w:val="24"/>
          <w:szCs w:val="24"/>
          <w:lang w:eastAsia="pt-BR"/>
        </w:rPr>
      </w:pPr>
      <w:hyperlink r:id="rId5" w:tgtFrame="_blank" w:tooltip="ir para página do Saúde Legis" w:history="1">
        <w:r w:rsidRPr="00F77229">
          <w:rPr>
            <w:rFonts w:ascii="Times New Roman" w:eastAsia="Times New Roman" w:hAnsi="Times New Roman" w:cs="Times New Roman"/>
            <w:color w:val="0000FF"/>
            <w:sz w:val="24"/>
            <w:szCs w:val="24"/>
            <w:u w:val="single"/>
            <w:lang w:eastAsia="pt-BR"/>
          </w:rPr>
          <w:t xml:space="preserve">Saúde </w:t>
        </w:r>
        <w:proofErr w:type="spellStart"/>
        <w:r w:rsidRPr="00F77229">
          <w:rPr>
            <w:rFonts w:ascii="Times New Roman" w:eastAsia="Times New Roman" w:hAnsi="Times New Roman" w:cs="Times New Roman"/>
            <w:color w:val="0000FF"/>
            <w:sz w:val="24"/>
            <w:szCs w:val="24"/>
            <w:u w:val="single"/>
            <w:lang w:eastAsia="pt-BR"/>
          </w:rPr>
          <w:t>Legis</w:t>
        </w:r>
        <w:proofErr w:type="spellEnd"/>
        <w:r w:rsidRPr="00F77229">
          <w:rPr>
            <w:rFonts w:ascii="Times New Roman" w:eastAsia="Times New Roman" w:hAnsi="Times New Roman" w:cs="Times New Roman"/>
            <w:color w:val="0000FF"/>
            <w:sz w:val="24"/>
            <w:szCs w:val="24"/>
            <w:u w:val="single"/>
            <w:lang w:eastAsia="pt-BR"/>
          </w:rPr>
          <w:t xml:space="preserve"> - Sistema de Legislação da Saúde</w:t>
        </w:r>
      </w:hyperlink>
      <w:r w:rsidRPr="00F77229">
        <w:rPr>
          <w:rFonts w:ascii="Times New Roman" w:eastAsia="Times New Roman" w:hAnsi="Times New Roman" w:cs="Times New Roman"/>
          <w:sz w:val="24"/>
          <w:szCs w:val="24"/>
          <w:lang w:eastAsia="pt-BR"/>
        </w:rPr>
        <w:t xml:space="preserve"> </w:t>
      </w:r>
    </w:p>
    <w:p w:rsidR="00427A93" w:rsidRDefault="00F77229"/>
    <w:sectPr w:rsidR="00427A93" w:rsidSect="007B5C1E">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77229"/>
    <w:rsid w:val="0021532B"/>
    <w:rsid w:val="007B5C1E"/>
    <w:rsid w:val="00990399"/>
    <w:rsid w:val="00F7722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C1E"/>
  </w:style>
  <w:style w:type="paragraph" w:styleId="Ttulo1">
    <w:name w:val="heading 1"/>
    <w:basedOn w:val="Normal"/>
    <w:link w:val="Ttulo1Char"/>
    <w:uiPriority w:val="9"/>
    <w:qFormat/>
    <w:rsid w:val="00F77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F77229"/>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7722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F77229"/>
    <w:rPr>
      <w:rFonts w:ascii="Times New Roman" w:eastAsia="Times New Roman" w:hAnsi="Times New Roman" w:cs="Times New Roman"/>
      <w:b/>
      <w:bCs/>
      <w:sz w:val="36"/>
      <w:szCs w:val="36"/>
      <w:lang w:eastAsia="pt-BR"/>
    </w:rPr>
  </w:style>
  <w:style w:type="character" w:customStyle="1" w:styleId="legendab">
    <w:name w:val="legendab"/>
    <w:basedOn w:val="Fontepargpadro"/>
    <w:rsid w:val="00F77229"/>
  </w:style>
  <w:style w:type="paragraph" w:customStyle="1" w:styleId="ementa">
    <w:name w:val="ementa"/>
    <w:basedOn w:val="Normal"/>
    <w:rsid w:val="00F7722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F77229"/>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F77229"/>
    <w:rPr>
      <w:color w:val="0000FF"/>
      <w:u w:val="single"/>
    </w:rPr>
  </w:style>
  <w:style w:type="paragraph" w:styleId="Textodebalo">
    <w:name w:val="Balloon Text"/>
    <w:basedOn w:val="Normal"/>
    <w:link w:val="TextodebaloChar"/>
    <w:uiPriority w:val="99"/>
    <w:semiHidden/>
    <w:unhideWhenUsed/>
    <w:rsid w:val="00F7722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F7722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57401740">
      <w:bodyDiv w:val="1"/>
      <w:marLeft w:val="0"/>
      <w:marRight w:val="0"/>
      <w:marTop w:val="0"/>
      <w:marBottom w:val="0"/>
      <w:divBdr>
        <w:top w:val="none" w:sz="0" w:space="0" w:color="auto"/>
        <w:left w:val="none" w:sz="0" w:space="0" w:color="auto"/>
        <w:bottom w:val="none" w:sz="0" w:space="0" w:color="auto"/>
        <w:right w:val="none" w:sz="0" w:space="0" w:color="auto"/>
      </w:divBdr>
      <w:divsChild>
        <w:div w:id="10496239">
          <w:marLeft w:val="0"/>
          <w:marRight w:val="0"/>
          <w:marTop w:val="0"/>
          <w:marBottom w:val="0"/>
          <w:divBdr>
            <w:top w:val="none" w:sz="0" w:space="0" w:color="auto"/>
            <w:left w:val="none" w:sz="0" w:space="0" w:color="auto"/>
            <w:bottom w:val="none" w:sz="0" w:space="0" w:color="auto"/>
            <w:right w:val="none" w:sz="0" w:space="0" w:color="auto"/>
          </w:divBdr>
        </w:div>
        <w:div w:id="1666129513">
          <w:marLeft w:val="0"/>
          <w:marRight w:val="0"/>
          <w:marTop w:val="0"/>
          <w:marBottom w:val="0"/>
          <w:divBdr>
            <w:top w:val="none" w:sz="0" w:space="0" w:color="auto"/>
            <w:left w:val="none" w:sz="0" w:space="0" w:color="auto"/>
            <w:bottom w:val="none" w:sz="0" w:space="0" w:color="auto"/>
            <w:right w:val="none" w:sz="0" w:space="0" w:color="auto"/>
          </w:divBdr>
        </w:div>
        <w:div w:id="666131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aude.gov.br/saudelegis" TargetMode="Externa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1205</Words>
  <Characters>6511</Characters>
  <Application>Microsoft Office Word</Application>
  <DocSecurity>0</DocSecurity>
  <Lines>54</Lines>
  <Paragraphs>15</Paragraphs>
  <ScaleCrop>false</ScaleCrop>
  <Company>Microsoft</Company>
  <LinksUpToDate>false</LinksUpToDate>
  <CharactersWithSpaces>7701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santosmr</dc:creator>
  <cp:lastModifiedBy>santosmr</cp:lastModifiedBy>
  <cp:revision>1</cp:revision>
  <dcterms:created xsi:type="dcterms:W3CDTF">2014-03-21T14:13:00Z</dcterms:created>
  <dcterms:modified xsi:type="dcterms:W3CDTF">2014-03-21T14:15:00Z</dcterms:modified>
</cp:coreProperties>
</file>