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7500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455"/>
        <w:gridCol w:w="45"/>
      </w:tblGrid>
      <w:tr w:rsidR="00B64610" w:rsidRPr="00B64610" w:rsidTr="00B64610">
        <w:trPr>
          <w:gridAfter w:val="1"/>
          <w:trHeight w:val="390"/>
          <w:tblCellSpacing w:w="15" w:type="dxa"/>
        </w:trPr>
        <w:tc>
          <w:tcPr>
            <w:tcW w:w="3950" w:type="pct"/>
            <w:vAlign w:val="center"/>
            <w:hideMark/>
          </w:tcPr>
          <w:p w:rsidR="00B64610" w:rsidRPr="00B64610" w:rsidRDefault="00B64610" w:rsidP="00B646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646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IV CONFERÊNCIA ESTADUAL DE SAÚDE DE SANTA CATARINA</w:t>
            </w:r>
            <w:r w:rsidRPr="00B646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br/>
              <w:t xml:space="preserve">PROGRAMAÇÂO </w:t>
            </w:r>
            <w:bookmarkStart w:id="0" w:name="_GoBack"/>
            <w:bookmarkEnd w:id="0"/>
          </w:p>
        </w:tc>
      </w:tr>
      <w:tr w:rsidR="00B64610" w:rsidRPr="00B64610" w:rsidTr="00B64610">
        <w:trPr>
          <w:tblCellSpacing w:w="15" w:type="dxa"/>
        </w:trPr>
        <w:tc>
          <w:tcPr>
            <w:tcW w:w="0" w:type="auto"/>
            <w:gridSpan w:val="2"/>
            <w:vAlign w:val="center"/>
          </w:tcPr>
          <w:p w:rsidR="00B64610" w:rsidRPr="00B64610" w:rsidRDefault="00B64610" w:rsidP="00B64610">
            <w:pPr>
              <w:keepNext/>
              <w:spacing w:after="0" w:line="240" w:lineRule="auto"/>
              <w:jc w:val="center"/>
              <w:outlineLvl w:val="0"/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b/>
                <w:sz w:val="20"/>
                <w:szCs w:val="20"/>
                <w:lang w:eastAsia="pt-BR"/>
              </w:rPr>
              <w:t>ETAPA ESTADUAL DA XII CONFERÊNCIA NACIONAL DE SAÚDE</w:t>
            </w:r>
          </w:p>
          <w:p w:rsidR="00B64610" w:rsidRPr="00B64610" w:rsidRDefault="00B64610" w:rsidP="00B64610">
            <w:pPr>
              <w:spacing w:after="0" w:line="240" w:lineRule="auto"/>
              <w:jc w:val="center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b/>
                <w:sz w:val="20"/>
                <w:szCs w:val="20"/>
                <w:lang w:eastAsia="pt-BR"/>
              </w:rPr>
              <w:t xml:space="preserve">“SAÚDE: UM DIREITO DE TODOS E DEVER DO ESTADO – A SAÚDE QUE </w:t>
            </w:r>
            <w:proofErr w:type="gramStart"/>
            <w:r w:rsidRPr="00B64610">
              <w:rPr>
                <w:rFonts w:ascii="Arial" w:eastAsia="Times New Roman" w:hAnsi="Arial" w:cs="Times New Roman"/>
                <w:b/>
                <w:sz w:val="20"/>
                <w:szCs w:val="20"/>
                <w:lang w:eastAsia="pt-BR"/>
              </w:rPr>
              <w:t>TEMOS,</w:t>
            </w:r>
            <w:proofErr w:type="gramEnd"/>
            <w:r w:rsidRPr="00B64610">
              <w:rPr>
                <w:rFonts w:ascii="Arial" w:eastAsia="Times New Roman" w:hAnsi="Arial" w:cs="Times New Roman"/>
                <w:b/>
                <w:sz w:val="20"/>
                <w:szCs w:val="20"/>
                <w:lang w:eastAsia="pt-BR"/>
              </w:rPr>
              <w:t xml:space="preserve"> O SUS QUE QUEREMOS”</w:t>
            </w:r>
          </w:p>
          <w:p w:rsidR="00B64610" w:rsidRPr="00B64610" w:rsidRDefault="00B64610" w:rsidP="00B64610">
            <w:pPr>
              <w:keepNext/>
              <w:spacing w:after="0" w:line="240" w:lineRule="auto"/>
              <w:jc w:val="center"/>
              <w:outlineLvl w:val="1"/>
              <w:rPr>
                <w:rFonts w:ascii="Arial" w:eastAsia="Times New Roman" w:hAnsi="Arial" w:cs="Times New Roman"/>
                <w:sz w:val="36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Arial"/>
                <w:sz w:val="20"/>
                <w:szCs w:val="20"/>
                <w:lang w:eastAsia="pt-BR"/>
              </w:rPr>
              <w:t>24 a 26 de Outubro de 2003</w:t>
            </w:r>
          </w:p>
          <w:p w:rsidR="00B64610" w:rsidRPr="00B64610" w:rsidRDefault="00B64610" w:rsidP="00B64610">
            <w:pPr>
              <w:spacing w:after="0" w:line="240" w:lineRule="auto"/>
              <w:jc w:val="center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keepNext/>
              <w:spacing w:after="0" w:line="240" w:lineRule="auto"/>
              <w:jc w:val="center"/>
              <w:outlineLvl w:val="2"/>
              <w:rPr>
                <w:rFonts w:ascii="Arial" w:eastAsia="Times New Roman" w:hAnsi="Arial" w:cs="Times New Roman"/>
                <w:b/>
                <w:sz w:val="27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  <w:t>REGULAMENTO DA CONFERÊNCIA</w:t>
            </w:r>
          </w:p>
          <w:p w:rsidR="00B64610" w:rsidRPr="00B64610" w:rsidRDefault="00B64610" w:rsidP="00B64610">
            <w:pPr>
              <w:spacing w:after="0" w:line="240" w:lineRule="auto"/>
              <w:jc w:val="center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center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CAPÍTULO I</w:t>
            </w:r>
          </w:p>
          <w:p w:rsidR="00B64610" w:rsidRPr="00B64610" w:rsidRDefault="00B64610" w:rsidP="00B64610">
            <w:pPr>
              <w:keepNext/>
              <w:spacing w:after="0" w:line="240" w:lineRule="auto"/>
              <w:jc w:val="center"/>
              <w:outlineLvl w:val="1"/>
              <w:rPr>
                <w:rFonts w:ascii="Arial" w:eastAsia="Times New Roman" w:hAnsi="Arial" w:cs="Times New Roman"/>
                <w:sz w:val="36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Arial"/>
                <w:sz w:val="20"/>
                <w:szCs w:val="20"/>
                <w:lang w:eastAsia="pt-BR"/>
              </w:rPr>
              <w:t>Dos Objetivos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Art. 1</w:t>
            </w:r>
            <w:r w:rsidRPr="00B64610">
              <w:rPr>
                <w:rFonts w:ascii="Arial" w:eastAsia="Times New Roman" w:hAnsi="Arial" w:cs="Times New Roman"/>
                <w:sz w:val="20"/>
                <w:szCs w:val="20"/>
                <w:vertAlign w:val="superscript"/>
                <w:lang w:eastAsia="pt-BR"/>
              </w:rPr>
              <w:t xml:space="preserve">o </w:t>
            </w: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– A IV Conferência Estadual de Saúde é o foro estadual dos debates da sociedade catarinense e tem por objetivos:</w:t>
            </w:r>
          </w:p>
          <w:p w:rsidR="00B64610" w:rsidRPr="00B64610" w:rsidRDefault="00B64610" w:rsidP="00B64610">
            <w:pPr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Propor diretrizes para efetivar a saúde como direito de todos e dever do Estado, bem como para a consolidação do Sistema Único de Saúde – SUS;</w:t>
            </w:r>
          </w:p>
          <w:p w:rsidR="00B64610" w:rsidRPr="00B64610" w:rsidRDefault="00B64610" w:rsidP="00B64610">
            <w:pPr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discutir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e deliberar sobre o controle social no SUS, o papel dos gestores e sobre a Política Estadual de Saúde;</w:t>
            </w:r>
          </w:p>
          <w:p w:rsidR="00B64610" w:rsidRPr="00B64610" w:rsidRDefault="00B64610" w:rsidP="00B64610">
            <w:pPr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aprovar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as proposições do Estado de Santa Catarina para a XII Conferência Nacional de Saúde e, </w:t>
            </w:r>
          </w:p>
          <w:p w:rsidR="00B64610" w:rsidRPr="00B64610" w:rsidRDefault="00B64610" w:rsidP="00B64610">
            <w:pPr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eleger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os delegados para a XII Conferência Nacional de Saúde.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Parágrafo Único – A IV Conferência Estadual de Saúde será realizada na cidade de Florianópolis nos dias 24, 25 e 26 de outubro de 2003, com solenidade de abertura </w:t>
            </w: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no dia no dia 24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de outubro, às 17</w:t>
            </w:r>
            <w:r w:rsidRPr="00B64610">
              <w:rPr>
                <w:rFonts w:ascii="Arial" w:eastAsia="Times New Roman" w:hAnsi="Arial" w:cs="Times New Roman"/>
                <w:noProof/>
                <w:sz w:val="20"/>
                <w:szCs w:val="20"/>
                <w:lang w:eastAsia="pt-BR"/>
              </w:rPr>
              <w:t>:00 horas.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keepNext/>
              <w:spacing w:after="0" w:line="240" w:lineRule="auto"/>
              <w:jc w:val="center"/>
              <w:outlineLvl w:val="1"/>
              <w:rPr>
                <w:rFonts w:ascii="Arial" w:eastAsia="Times New Roman" w:hAnsi="Arial" w:cs="Times New Roman"/>
                <w:sz w:val="36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Arial"/>
                <w:sz w:val="20"/>
                <w:szCs w:val="20"/>
                <w:lang w:eastAsia="pt-BR"/>
              </w:rPr>
              <w:t>CAPÍTULO II</w:t>
            </w:r>
          </w:p>
          <w:p w:rsidR="00B64610" w:rsidRPr="00B64610" w:rsidRDefault="00B64610" w:rsidP="00B64610">
            <w:pPr>
              <w:spacing w:after="0" w:line="240" w:lineRule="auto"/>
              <w:jc w:val="center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Dos Membros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Art. 2</w:t>
            </w:r>
            <w:r w:rsidRPr="00B64610">
              <w:rPr>
                <w:rFonts w:ascii="Arial" w:eastAsia="Times New Roman" w:hAnsi="Arial" w:cs="Times New Roman"/>
                <w:sz w:val="20"/>
                <w:szCs w:val="20"/>
                <w:vertAlign w:val="superscript"/>
                <w:lang w:eastAsia="pt-BR"/>
              </w:rPr>
              <w:t>o</w:t>
            </w: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– Poderão inscrever-se como membros da Conferência todas as pessoas ou instituições interessadas nas finalidades estabelecidas no artigo anterior, na condição de: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a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– Delegados ou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b – Participantes.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Art. 3</w:t>
            </w:r>
            <w:r w:rsidRPr="00B64610">
              <w:rPr>
                <w:rFonts w:ascii="Arial" w:eastAsia="Times New Roman" w:hAnsi="Arial" w:cs="Times New Roman"/>
                <w:sz w:val="20"/>
                <w:szCs w:val="20"/>
                <w:vertAlign w:val="superscript"/>
                <w:lang w:eastAsia="pt-BR"/>
              </w:rPr>
              <w:t>o</w:t>
            </w: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 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- São delegados:</w:t>
            </w:r>
          </w:p>
          <w:p w:rsidR="00B64610" w:rsidRPr="00B64610" w:rsidRDefault="00B64610" w:rsidP="00B64610">
            <w:pPr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os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eleitos nas conferências Municipais de Saúde;</w:t>
            </w:r>
          </w:p>
          <w:p w:rsidR="00B64610" w:rsidRPr="00B64610" w:rsidRDefault="00B64610" w:rsidP="00B64610">
            <w:pPr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os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membros titulares e suplentes do Conselho Estadual de Saúde;</w:t>
            </w:r>
          </w:p>
          <w:p w:rsidR="00B64610" w:rsidRPr="00B64610" w:rsidRDefault="00B64610" w:rsidP="00B64610">
            <w:pPr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representantes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de entidades de âmbito estadual (01 representante por entidade), referendados pelo Conselho Estadual de Saúde, em Reunião Ordinária anterior a realização da Conferência.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§ 1</w:t>
            </w:r>
            <w:r w:rsidRPr="00B64610">
              <w:rPr>
                <w:rFonts w:ascii="Arial" w:eastAsia="Times New Roman" w:hAnsi="Arial" w:cs="Times New Roman"/>
                <w:sz w:val="20"/>
                <w:szCs w:val="20"/>
                <w:vertAlign w:val="superscript"/>
                <w:lang w:eastAsia="pt-BR"/>
              </w:rPr>
              <w:t>o</w:t>
            </w: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 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- Serão consideradas etapas municipais válidas para efeito do artigo anterior, eventos convocados e amplamente divulgados, que tenham garantido a participação popular nos termos da lei, com indicação dos delegados nos termos deste regulamento e contendo as propostas aprovadas, formalizadas através de ata assinada pela Comissão Organizadora do evento e encaminhada à Comissão Organizadora da IV Conferência Estadual até o dia 05 de outubro de 2003.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§ 2</w:t>
            </w:r>
            <w:r w:rsidRPr="00B64610">
              <w:rPr>
                <w:rFonts w:ascii="Arial" w:eastAsia="Times New Roman" w:hAnsi="Arial" w:cs="Times New Roman"/>
                <w:sz w:val="20"/>
                <w:szCs w:val="20"/>
                <w:vertAlign w:val="superscript"/>
                <w:lang w:eastAsia="pt-BR"/>
              </w:rPr>
              <w:t>o</w:t>
            </w: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– Os Municípios que já realizaram suas Conferências de Saúde nos doze meses anteriores à data da publicação deste Regimento devem realizar </w:t>
            </w: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plenárias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como etapas complementares específicas, com os seguintes objetivos: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I - discutir o temário da XII Conferência Nacional de Saúde; </w:t>
            </w: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e</w:t>
            </w:r>
            <w:proofErr w:type="gramEnd"/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Verdana" w:eastAsia="Times New Roman" w:hAnsi="Verdana" w:cs="Arial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II - eleger os delegados para a etapa estadual.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vertAlign w:val="subscript"/>
                <w:lang w:eastAsia="pt-BR"/>
              </w:rPr>
            </w:pPr>
            <w:r w:rsidRPr="00B64610">
              <w:rPr>
                <w:rFonts w:ascii="Arial" w:eastAsia="Times New Roman" w:hAnsi="Arial" w:cs="Arial"/>
                <w:sz w:val="20"/>
                <w:szCs w:val="20"/>
                <w:lang w:eastAsia="pt-BR"/>
              </w:rPr>
              <w:t xml:space="preserve">§ 3º - A substituição de delegado por seu suplente será aceita mediante formalização do pedido pelo presidente do Conselho Municipal de Saúde. 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Art. 4</w:t>
            </w:r>
            <w:r w:rsidRPr="00B64610">
              <w:rPr>
                <w:rFonts w:ascii="Arial" w:eastAsia="Times New Roman" w:hAnsi="Arial" w:cs="Times New Roman"/>
                <w:sz w:val="20"/>
                <w:szCs w:val="20"/>
                <w:vertAlign w:val="superscript"/>
                <w:lang w:eastAsia="pt-BR"/>
              </w:rPr>
              <w:t>o</w:t>
            </w: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– Como participante poderá inscrever-se todo cidadão interessado no tema, com direito a voz.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center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SEÇÃO I</w:t>
            </w:r>
          </w:p>
          <w:p w:rsidR="00B64610" w:rsidRPr="00B64610" w:rsidRDefault="00B64610" w:rsidP="00B64610">
            <w:pPr>
              <w:spacing w:after="0" w:line="240" w:lineRule="auto"/>
              <w:jc w:val="center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Dos Delegados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Art. 5</w:t>
            </w:r>
            <w:r w:rsidRPr="00B64610">
              <w:rPr>
                <w:rFonts w:ascii="Arial" w:eastAsia="Times New Roman" w:hAnsi="Arial" w:cs="Times New Roman"/>
                <w:sz w:val="20"/>
                <w:szCs w:val="20"/>
                <w:vertAlign w:val="superscript"/>
                <w:lang w:eastAsia="pt-BR"/>
              </w:rPr>
              <w:t>o</w:t>
            </w: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– Baseado na população (estimativa IBGE/2002), o quantitativo de Delegados por município obedecerá ao seguinte critério: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numPr>
                <w:ilvl w:val="0"/>
                <w:numId w:val="3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Municípios com até 10 mil hab. – 04 delegados;</w:t>
            </w:r>
          </w:p>
          <w:p w:rsidR="00B64610" w:rsidRPr="00B64610" w:rsidRDefault="00B64610" w:rsidP="00B64610">
            <w:pPr>
              <w:numPr>
                <w:ilvl w:val="0"/>
                <w:numId w:val="3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Municípios com 10 a 30 mil hab. – 08 delegados;</w:t>
            </w:r>
          </w:p>
          <w:p w:rsidR="00B64610" w:rsidRPr="00B64610" w:rsidRDefault="00B64610" w:rsidP="00B64610">
            <w:pPr>
              <w:numPr>
                <w:ilvl w:val="0"/>
                <w:numId w:val="3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Municípios com 30 a 60 mil hab. – 12 delegados;</w:t>
            </w:r>
          </w:p>
          <w:p w:rsidR="00B64610" w:rsidRPr="00B64610" w:rsidRDefault="00B64610" w:rsidP="00B64610">
            <w:pPr>
              <w:numPr>
                <w:ilvl w:val="0"/>
                <w:numId w:val="3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Municípios com 60 a 100 mil hab. – 16 delegados e </w:t>
            </w:r>
          </w:p>
          <w:p w:rsidR="00B64610" w:rsidRPr="00B64610" w:rsidRDefault="00B64610" w:rsidP="00B64610">
            <w:pPr>
              <w:numPr>
                <w:ilvl w:val="0"/>
                <w:numId w:val="3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Municípios acima de 100 mil hab. – 20 delegados.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Parágrafo Único – Nos termos do § 4, do Art. 1</w:t>
            </w:r>
            <w:r w:rsidRPr="00B64610">
              <w:rPr>
                <w:rFonts w:ascii="Arial" w:eastAsia="Times New Roman" w:hAnsi="Arial" w:cs="Times New Roman"/>
                <w:sz w:val="20"/>
                <w:szCs w:val="20"/>
                <w:vertAlign w:val="superscript"/>
                <w:lang w:eastAsia="pt-BR"/>
              </w:rPr>
              <w:t>o</w:t>
            </w: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vertAlign w:val="superscript"/>
                <w:lang w:eastAsia="pt-BR"/>
              </w:rPr>
              <w:t xml:space="preserve"> </w:t>
            </w: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da Lei 8.142/90, a representação dos usuários, na IV Conferência Estadual de Saúde, será paritária em relação ao conjunto dos representantes do governo, prestadores de serviço e profissionais de saúde.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keepNext/>
              <w:spacing w:after="0" w:line="240" w:lineRule="auto"/>
              <w:jc w:val="center"/>
              <w:outlineLvl w:val="1"/>
              <w:rPr>
                <w:rFonts w:ascii="Arial" w:eastAsia="Times New Roman" w:hAnsi="Arial" w:cs="Times New Roman"/>
                <w:sz w:val="36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Arial"/>
                <w:sz w:val="20"/>
                <w:szCs w:val="20"/>
                <w:lang w:eastAsia="pt-BR"/>
              </w:rPr>
              <w:t>SEÇÃO II</w:t>
            </w:r>
          </w:p>
          <w:p w:rsidR="00B64610" w:rsidRPr="00B64610" w:rsidRDefault="00B64610" w:rsidP="00B64610">
            <w:pPr>
              <w:spacing w:after="0" w:line="240" w:lineRule="auto"/>
              <w:jc w:val="center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Da Eleição dos Delegados à XII Conferência Nacional de Saúde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Art. 6</w:t>
            </w:r>
            <w:r w:rsidRPr="00B64610">
              <w:rPr>
                <w:rFonts w:ascii="Arial" w:eastAsia="Times New Roman" w:hAnsi="Arial" w:cs="Times New Roman"/>
                <w:sz w:val="20"/>
                <w:szCs w:val="20"/>
                <w:vertAlign w:val="superscript"/>
                <w:lang w:eastAsia="pt-BR"/>
              </w:rPr>
              <w:t>o</w:t>
            </w: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– Poderão candidatar-se </w:t>
            </w: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a Delegados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da XII Conferência Nacional de Saúde somente os delegados credenciados na IV Conferência Estadual de Saúde.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Art. 7</w:t>
            </w:r>
            <w:r w:rsidRPr="00B64610">
              <w:rPr>
                <w:rFonts w:ascii="Arial" w:eastAsia="Times New Roman" w:hAnsi="Arial" w:cs="Times New Roman"/>
                <w:sz w:val="20"/>
                <w:szCs w:val="20"/>
                <w:vertAlign w:val="superscript"/>
                <w:lang w:eastAsia="pt-BR"/>
              </w:rPr>
              <w:t>o</w:t>
            </w: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– Em obediência às orientações da Comissão Organizadora da XII Conferência Nacional de Saúde, serão eleitos 76 delegados, conforme os seguintes critérios:</w:t>
            </w:r>
          </w:p>
          <w:p w:rsidR="00B64610" w:rsidRPr="00B64610" w:rsidRDefault="00B64610" w:rsidP="00B64610">
            <w:pPr>
              <w:numPr>
                <w:ilvl w:val="0"/>
                <w:numId w:val="4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38 representantes dos usuários;</w:t>
            </w:r>
          </w:p>
          <w:p w:rsidR="00B64610" w:rsidRPr="00B64610" w:rsidRDefault="00B64610" w:rsidP="00B64610">
            <w:pPr>
              <w:numPr>
                <w:ilvl w:val="0"/>
                <w:numId w:val="4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19 representantes dos trabalhadores em saúde;</w:t>
            </w:r>
          </w:p>
          <w:p w:rsidR="00B64610" w:rsidRPr="00B64610" w:rsidRDefault="00B64610" w:rsidP="00B64610">
            <w:pPr>
              <w:numPr>
                <w:ilvl w:val="0"/>
                <w:numId w:val="4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08 representantes dos prestadores de serviços, devendo ser 05 prestadores privados e 03 prestadores públicos;</w:t>
            </w:r>
          </w:p>
          <w:p w:rsidR="00B64610" w:rsidRPr="00B64610" w:rsidRDefault="00B64610" w:rsidP="00B64610">
            <w:pPr>
              <w:numPr>
                <w:ilvl w:val="0"/>
                <w:numId w:val="4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11 representantes dos gestores públicos.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Parágrafo Único – Os candidatos a delegados à Etapa Nacional da XII Conferência Nacional de Saúde só poderão inscrever-se no mesmo segmento em que foram credenciados na IV Conferência Estadual de Saúde.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keepNext/>
              <w:spacing w:after="0" w:line="240" w:lineRule="auto"/>
              <w:jc w:val="center"/>
              <w:outlineLvl w:val="1"/>
              <w:rPr>
                <w:rFonts w:ascii="Arial" w:eastAsia="Times New Roman" w:hAnsi="Arial" w:cs="Times New Roman"/>
                <w:sz w:val="36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Arial"/>
                <w:sz w:val="20"/>
                <w:szCs w:val="20"/>
                <w:lang w:eastAsia="pt-BR"/>
              </w:rPr>
              <w:t>CAPÍTULO III</w:t>
            </w:r>
          </w:p>
          <w:p w:rsidR="00B64610" w:rsidRPr="00B64610" w:rsidRDefault="00B64610" w:rsidP="00B64610">
            <w:pPr>
              <w:spacing w:after="0" w:line="240" w:lineRule="auto"/>
              <w:jc w:val="center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Do Temário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Art. 8</w:t>
            </w:r>
            <w:r w:rsidRPr="00B64610">
              <w:rPr>
                <w:rFonts w:ascii="Arial" w:eastAsia="Times New Roman" w:hAnsi="Arial" w:cs="Times New Roman"/>
                <w:sz w:val="20"/>
                <w:szCs w:val="20"/>
                <w:vertAlign w:val="superscript"/>
                <w:lang w:eastAsia="pt-BR"/>
              </w:rPr>
              <w:t>o</w:t>
            </w: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De acordo com as orientações da Comissão Organizadora da Conferência Nacional, a IV Conferência Estadual de Saúde, Etapa Estadual da XII Conferência Nacional de Saúde – “Saúde: um Direito de Todos e Dever do Estado – A Saúde que </w:t>
            </w: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Temos,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o SUS que Queremos” – terá o seguinte temário: 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u w:val="single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4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  <w:t>I – Controle Social</w:t>
            </w:r>
            <w:r w:rsidRPr="00B64610">
              <w:rPr>
                <w:rFonts w:ascii="Arial" w:eastAsia="Times New Roman" w:hAnsi="Arial" w:cs="Arial"/>
                <w:sz w:val="20"/>
                <w:szCs w:val="20"/>
                <w:lang w:eastAsia="pt-BR"/>
              </w:rPr>
              <w:t>: Direito à Saúde; A Seguridade Social e a Saúde; O Financiamento da Saúde.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b/>
                <w:sz w:val="20"/>
                <w:szCs w:val="20"/>
                <w:lang w:eastAsia="pt-BR"/>
              </w:rPr>
              <w:t>II – Controle Social</w:t>
            </w: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: As Três Esferas de Governo e a Construção do SUS; Gestão Participativa; O Trabalho na Saúde.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b/>
                <w:sz w:val="20"/>
                <w:szCs w:val="20"/>
                <w:lang w:eastAsia="pt-BR"/>
              </w:rPr>
              <w:t>III – Controle Social</w:t>
            </w: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: A </w:t>
            </w:r>
            <w:proofErr w:type="spell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Intersetorialidade</w:t>
            </w:r>
            <w:proofErr w:type="spell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das Ações de Saúde; A Organização da Atenção à Saúde; Ciência e Tecnologia e a Saúde.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Art. 9</w:t>
            </w:r>
            <w:r w:rsidRPr="00B64610">
              <w:rPr>
                <w:rFonts w:ascii="Arial" w:eastAsia="Times New Roman" w:hAnsi="Arial" w:cs="Times New Roman"/>
                <w:sz w:val="20"/>
                <w:szCs w:val="20"/>
                <w:vertAlign w:val="superscript"/>
                <w:lang w:eastAsia="pt-BR"/>
              </w:rPr>
              <w:t>o</w:t>
            </w: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– Os termos de referência de cada mesa-redonda observarão, obrigatoriamente, o tema central e os eixos temáticos e deverão ter em comum a análise dos seguintes aspectos: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I - Histórico;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II - Posições dos diferentes segmentos sociais;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III - Deliberações das Conferências </w:t>
            </w: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Nacionais/Estaduais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e do Conselho Nacional/Estadual de Saúde;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lastRenderedPageBreak/>
              <w:t>IV - Conjuntura, considerando o programa e as propostas do atual Governo;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V - Informações técnicas e políticas;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VI - Atribuições e competências das três esferas de governo, destacando-se as da esfera federal/estadual;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VII - Apresentação de propostas de diretrizes; </w:t>
            </w: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e</w:t>
            </w:r>
            <w:proofErr w:type="gramEnd"/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VIII - Medidas para participação e controle social.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Art. 10 – A abordagem do Temário será realizada mediante exposição de conferencistas e debatedores, com garantia de participação da plenária e posterior discussão em grupos de trabalho.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Art. 11 – A mesa dos trabalhos, composta por conferencistas e debatedores, será dirigida por um presidente previamente indicado pela Comissão Organizadora.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Art. 12 - No ato da inscrição, cada membro participante da Conferência deverá optar por um único Grupo de Trabalho.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center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CAPÍTULO IV</w:t>
            </w:r>
          </w:p>
          <w:p w:rsidR="00B64610" w:rsidRPr="00B64610" w:rsidRDefault="00B64610" w:rsidP="00B64610">
            <w:pPr>
              <w:keepNext/>
              <w:spacing w:after="0" w:line="240" w:lineRule="auto"/>
              <w:jc w:val="center"/>
              <w:outlineLvl w:val="1"/>
              <w:rPr>
                <w:rFonts w:ascii="Arial" w:eastAsia="Times New Roman" w:hAnsi="Arial" w:cs="Times New Roman"/>
                <w:sz w:val="36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Arial"/>
                <w:sz w:val="20"/>
                <w:szCs w:val="20"/>
                <w:lang w:eastAsia="pt-BR"/>
              </w:rPr>
              <w:t>Da Organização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Art. 13 – A IV Conferência Estadual de Saúde terá uma Comissão Organizadora, constituída por: 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Presidente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Vice-Presidente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Coordenador Executivo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Secretário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Tesoureiro</w:t>
            </w:r>
          </w:p>
          <w:p w:rsidR="00B64610" w:rsidRPr="00B64610" w:rsidRDefault="00B64610" w:rsidP="00B64610">
            <w:pPr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Coordenador da Subcomissão de Relatoria</w:t>
            </w:r>
          </w:p>
          <w:p w:rsidR="00B64610" w:rsidRPr="00B64610" w:rsidRDefault="00B64610" w:rsidP="00B64610">
            <w:pPr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Coordenador da Subcomissão de Comunicação</w:t>
            </w:r>
          </w:p>
          <w:p w:rsidR="00B64610" w:rsidRPr="00B64610" w:rsidRDefault="00B64610" w:rsidP="00B64610">
            <w:pPr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Coordenador da Subcomissão de Apoio Logístico</w:t>
            </w:r>
          </w:p>
          <w:p w:rsidR="00B64610" w:rsidRPr="00B64610" w:rsidRDefault="00B64610" w:rsidP="00B64610">
            <w:pPr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Coordenador da Subcomissão de Documentação e Programa</w:t>
            </w:r>
          </w:p>
          <w:p w:rsidR="00B64610" w:rsidRPr="00B64610" w:rsidRDefault="00B64610" w:rsidP="00B64610">
            <w:pPr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Coordenador de Subcomissão de Secretaria </w:t>
            </w:r>
          </w:p>
          <w:p w:rsidR="00B64610" w:rsidRPr="00B64610" w:rsidRDefault="00B64610" w:rsidP="00B64610">
            <w:pPr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Coordenador da Subcomissão de Recepção e Hospedagem</w:t>
            </w:r>
          </w:p>
          <w:p w:rsidR="00B64610" w:rsidRPr="00B64610" w:rsidRDefault="00B64610" w:rsidP="00B64610">
            <w:pPr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Coordenador de Subcomissão de Apoio às Etapas Municipais.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center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SEÇÃO I</w:t>
            </w:r>
          </w:p>
          <w:p w:rsidR="00B64610" w:rsidRPr="00B64610" w:rsidRDefault="00B64610" w:rsidP="00B64610">
            <w:pPr>
              <w:spacing w:after="0" w:line="240" w:lineRule="auto"/>
              <w:jc w:val="center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Das Competências da Comissão Organizadora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Art. 14 – A Comissão Organizadora tem as seguintes competências:</w:t>
            </w:r>
          </w:p>
          <w:p w:rsidR="00B64610" w:rsidRPr="00B64610" w:rsidRDefault="00B64610" w:rsidP="00B64610">
            <w:pPr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promover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a realização da IV Conferência Estadual de Saúde e da Etapa Estadual da XII Conferência Nacional de Saúde, atendendo os aspectos políticos, técnicos, administrativos e financeiros;</w:t>
            </w:r>
          </w:p>
          <w:p w:rsidR="00B64610" w:rsidRPr="00B64610" w:rsidRDefault="00B64610" w:rsidP="00B64610">
            <w:pPr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elaborar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o Regulamento e a Programação e submetê-los à deliberação do Conselho Estadual de Saúde; </w:t>
            </w:r>
          </w:p>
          <w:p w:rsidR="00B64610" w:rsidRPr="00B64610" w:rsidRDefault="00B64610" w:rsidP="00B64610">
            <w:pPr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convidar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conferencistas, debatedores e presidentes de mesa da programação oficial da Conferência e designar facilitadores para os grupos de trabalho;</w:t>
            </w:r>
          </w:p>
          <w:p w:rsidR="00B64610" w:rsidRPr="00B64610" w:rsidRDefault="00B64610" w:rsidP="00B64610">
            <w:pPr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providenciar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o local de realização da Conferência; </w:t>
            </w:r>
          </w:p>
          <w:p w:rsidR="00B64610" w:rsidRPr="00B64610" w:rsidRDefault="00B64610" w:rsidP="00B64610">
            <w:pPr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constituir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subcomissões e definir suas competências;</w:t>
            </w:r>
          </w:p>
          <w:p w:rsidR="00B64610" w:rsidRPr="00B64610" w:rsidRDefault="00B64610" w:rsidP="00B64610">
            <w:pPr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elaborar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a proposta de Plano de Aplicação de Recursos Financeiros e a Prestação de Contas da Conferência e submetê-las à aprovação do Secretário de Estado da Saúde, do Conselho Estadual de Saúde e demais financiadores;</w:t>
            </w:r>
          </w:p>
          <w:p w:rsidR="00B64610" w:rsidRPr="00B64610" w:rsidRDefault="00B64610" w:rsidP="00B64610">
            <w:pPr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propor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a celebração de contratos e convênios;</w:t>
            </w:r>
          </w:p>
          <w:p w:rsidR="00B64610" w:rsidRPr="00B64610" w:rsidRDefault="00B64610" w:rsidP="00B64610">
            <w:pPr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elaborar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e publicar os Anais da Conferência e promover sua divulgação e distribuição e,</w:t>
            </w:r>
          </w:p>
          <w:p w:rsidR="00B64610" w:rsidRPr="00B64610" w:rsidRDefault="00B64610" w:rsidP="00B64610">
            <w:pPr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outras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que lhes sejam delegadas pelo Conselho Estadual de Saúde.  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4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Arial"/>
                <w:sz w:val="20"/>
                <w:szCs w:val="20"/>
                <w:lang w:eastAsia="pt-BR"/>
              </w:rPr>
              <w:t>Parágrafo Único – As reuniões da Comissão Organizadora serão convocadas pelo Presidente ou ainda por um terço de seus integrantes.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center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SEÇÃO II</w:t>
            </w:r>
          </w:p>
          <w:p w:rsidR="00B64610" w:rsidRPr="00B64610" w:rsidRDefault="00B64610" w:rsidP="00B64610">
            <w:pPr>
              <w:spacing w:after="0" w:line="240" w:lineRule="auto"/>
              <w:jc w:val="center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lastRenderedPageBreak/>
              <w:t>Das Atribuições dos Membros da Comissão Organizadora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Art. 15 – São atribuições do Presidente:</w:t>
            </w:r>
          </w:p>
          <w:p w:rsidR="00B64610" w:rsidRPr="00B64610" w:rsidRDefault="00B64610" w:rsidP="00B64610">
            <w:pPr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coordenar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a Comissão Organizadora;</w:t>
            </w:r>
          </w:p>
          <w:p w:rsidR="00B64610" w:rsidRPr="00B64610" w:rsidRDefault="00B64610" w:rsidP="00B64610">
            <w:pPr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coordenar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os trabalhos da IV Conferência Estadual de Saúde;</w:t>
            </w:r>
          </w:p>
          <w:p w:rsidR="00B64610" w:rsidRPr="00B64610" w:rsidRDefault="00B64610" w:rsidP="00B64610">
            <w:pPr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delegar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competências aos demais membros da Comissão Organizadora e, </w:t>
            </w:r>
          </w:p>
          <w:p w:rsidR="00B64610" w:rsidRPr="00B64610" w:rsidRDefault="00B64610" w:rsidP="00B64610">
            <w:pPr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assinar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certificados juntamente com o Secretário. 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Parágrafo Único – O Presidente da Comissão Organizadora será substituído em seus impedimentos eventuais pelo Vice-Presidente.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Art. 16 – São atribuições do Coordenador Executivo:</w:t>
            </w:r>
          </w:p>
          <w:p w:rsidR="00B64610" w:rsidRPr="00B64610" w:rsidRDefault="00B64610" w:rsidP="00B64610">
            <w:pPr>
              <w:numPr>
                <w:ilvl w:val="0"/>
                <w:numId w:val="8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viabilizar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contratos e convênios concernentes à IV Conferência Estadual de Saúde;</w:t>
            </w:r>
          </w:p>
          <w:p w:rsidR="00B64610" w:rsidRPr="00B64610" w:rsidRDefault="00B64610" w:rsidP="00B64610">
            <w:pPr>
              <w:numPr>
                <w:ilvl w:val="0"/>
                <w:numId w:val="8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autorizar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despesas concernentes à Conferência, junto com o tesoureiro;</w:t>
            </w:r>
          </w:p>
          <w:p w:rsidR="00B64610" w:rsidRPr="00B64610" w:rsidRDefault="00B64610" w:rsidP="00B64610">
            <w:pPr>
              <w:numPr>
                <w:ilvl w:val="0"/>
                <w:numId w:val="8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coordenar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os trabalhos das subcomissões e,</w:t>
            </w:r>
          </w:p>
          <w:p w:rsidR="00B64610" w:rsidRPr="00B64610" w:rsidRDefault="00B64610" w:rsidP="00B64610">
            <w:pPr>
              <w:numPr>
                <w:ilvl w:val="0"/>
                <w:numId w:val="8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delegar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atribuições aos membros das subcomissões. 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Art. 17 – São Atribuições do Secretário:</w:t>
            </w:r>
          </w:p>
          <w:p w:rsidR="00B64610" w:rsidRPr="00B64610" w:rsidRDefault="00B64610" w:rsidP="00B64610">
            <w:pPr>
              <w:numPr>
                <w:ilvl w:val="0"/>
                <w:numId w:val="9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auxiliar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o Coordenador Executivo no planejamento e execução de suas atividades; </w:t>
            </w:r>
          </w:p>
          <w:p w:rsidR="00B64610" w:rsidRPr="00B64610" w:rsidRDefault="00B64610" w:rsidP="00B64610">
            <w:pPr>
              <w:numPr>
                <w:ilvl w:val="0"/>
                <w:numId w:val="9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orientar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os trabalhos da Subcomissão da Secretaria e,</w:t>
            </w:r>
          </w:p>
          <w:p w:rsidR="00B64610" w:rsidRPr="00B64610" w:rsidRDefault="00B64610" w:rsidP="00B64610">
            <w:pPr>
              <w:numPr>
                <w:ilvl w:val="0"/>
                <w:numId w:val="9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elaborar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a ata geral da Conferência, juntamente com o Coordenador da Subcomissão de Relatoria.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Parágrafo Único – O Secretário da Comissão Organizadora será substituído em seus impedimentos eventuais pelo Coordenador da Subcomissão de Secretaria.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Art. 18 – São atribuições do Tesoureiro:</w:t>
            </w:r>
          </w:p>
          <w:p w:rsidR="00B64610" w:rsidRPr="00B64610" w:rsidRDefault="00B64610" w:rsidP="00B64610">
            <w:pPr>
              <w:numPr>
                <w:ilvl w:val="0"/>
                <w:numId w:val="10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elaborar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o orçamento e o Plano de Aplicação dos Recursos Financeiros da IV Conferência Estadual de Saúde;</w:t>
            </w:r>
          </w:p>
          <w:p w:rsidR="00B64610" w:rsidRPr="00B64610" w:rsidRDefault="00B64610" w:rsidP="00B64610">
            <w:pPr>
              <w:numPr>
                <w:ilvl w:val="0"/>
                <w:numId w:val="10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realizar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o acompanhamento dos dispêndios previstos no Plano de Aplicação e, </w:t>
            </w:r>
          </w:p>
          <w:p w:rsidR="00B64610" w:rsidRPr="00B64610" w:rsidRDefault="00B64610" w:rsidP="00B64610">
            <w:pPr>
              <w:numPr>
                <w:ilvl w:val="0"/>
                <w:numId w:val="10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apresentar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à Comissão Organizadora a prestação de contas dos recursos destinados à IV Conferência Estadual de Saúde.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Art. 19 – São atribuições dos Coordenadores das Subcomissões:</w:t>
            </w:r>
          </w:p>
          <w:p w:rsidR="00B64610" w:rsidRPr="00B64610" w:rsidRDefault="00B64610" w:rsidP="00B64610">
            <w:pPr>
              <w:numPr>
                <w:ilvl w:val="0"/>
                <w:numId w:val="11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coordenar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os trabalhos das referidas subcomissões e </w:t>
            </w:r>
          </w:p>
          <w:p w:rsidR="00B64610" w:rsidRPr="00B64610" w:rsidRDefault="00B64610" w:rsidP="00B64610">
            <w:pPr>
              <w:numPr>
                <w:ilvl w:val="0"/>
                <w:numId w:val="11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assessorar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o Coordenador Executivo nos assuntos específicos das respectivas subcomissões: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center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SEÇÃO III</w:t>
            </w:r>
          </w:p>
          <w:p w:rsidR="00B64610" w:rsidRPr="00B64610" w:rsidRDefault="00B64610" w:rsidP="00B64610">
            <w:pPr>
              <w:spacing w:after="0" w:line="240" w:lineRule="auto"/>
              <w:jc w:val="center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Das Competências das Subcomissões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Art. 20 – São competências da Subcomissão de Relatoria:</w:t>
            </w:r>
          </w:p>
          <w:p w:rsidR="00B64610" w:rsidRPr="00B64610" w:rsidRDefault="00B64610" w:rsidP="00B64610">
            <w:pPr>
              <w:numPr>
                <w:ilvl w:val="0"/>
                <w:numId w:val="12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indicar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os facilitadores para os Grupos de Trabalhos;</w:t>
            </w:r>
          </w:p>
          <w:p w:rsidR="00B64610" w:rsidRPr="00B64610" w:rsidRDefault="00B64610" w:rsidP="00B64610">
            <w:pPr>
              <w:numPr>
                <w:ilvl w:val="0"/>
                <w:numId w:val="12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consolidar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os relatórios dos Grupos de Trabalho e a Proposta de Relatório Final da IV Conferência Estadual de Saúde;</w:t>
            </w:r>
          </w:p>
          <w:p w:rsidR="00B64610" w:rsidRPr="00B64610" w:rsidRDefault="00B64610" w:rsidP="00B64610">
            <w:pPr>
              <w:numPr>
                <w:ilvl w:val="0"/>
                <w:numId w:val="12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elaborar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os Anais da IV Conferência Estadual de Saúde;</w:t>
            </w:r>
          </w:p>
          <w:p w:rsidR="00B64610" w:rsidRPr="00B64610" w:rsidRDefault="00B64610" w:rsidP="00B64610">
            <w:pPr>
              <w:numPr>
                <w:ilvl w:val="0"/>
                <w:numId w:val="12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elaborar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a ata geral da conferência juntamente com o Secretário;</w:t>
            </w:r>
          </w:p>
          <w:p w:rsidR="00B64610" w:rsidRPr="00B64610" w:rsidRDefault="00B64610" w:rsidP="00B64610">
            <w:pPr>
              <w:numPr>
                <w:ilvl w:val="0"/>
                <w:numId w:val="12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articular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-se com as demais subcomissões, garantindo o bom andamento dos trabalhos.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Art. 21 – São competências da Subcomissão de Comunicação:</w:t>
            </w:r>
          </w:p>
          <w:p w:rsidR="00B64610" w:rsidRPr="00B64610" w:rsidRDefault="00B64610" w:rsidP="00B64610">
            <w:pPr>
              <w:numPr>
                <w:ilvl w:val="0"/>
                <w:numId w:val="13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desenvolver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atividades de assessoria de comunicação e relações públicas, incluindo a divulgação e a promoção da IV Conferência Estadual de Saúde; </w:t>
            </w:r>
          </w:p>
          <w:p w:rsidR="00B64610" w:rsidRPr="00B64610" w:rsidRDefault="00B64610" w:rsidP="00B64610">
            <w:pPr>
              <w:numPr>
                <w:ilvl w:val="0"/>
                <w:numId w:val="13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desenvolver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toda a elaboração da arte/logo da Conferência e,</w:t>
            </w:r>
          </w:p>
          <w:p w:rsidR="00B64610" w:rsidRPr="00B64610" w:rsidRDefault="00B64610" w:rsidP="00B64610">
            <w:pPr>
              <w:numPr>
                <w:ilvl w:val="0"/>
                <w:numId w:val="13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articular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-se com as demais subcomissões para a adequada produção dos materiais de divulgação.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4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Arial"/>
                <w:sz w:val="20"/>
                <w:szCs w:val="20"/>
                <w:lang w:eastAsia="pt-BR"/>
              </w:rPr>
              <w:t>Art. 22 – São competências da Subcomissão de Apoio Logístico:</w:t>
            </w:r>
          </w:p>
          <w:p w:rsidR="00B64610" w:rsidRPr="00B64610" w:rsidRDefault="00B64610" w:rsidP="00B64610">
            <w:pPr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lastRenderedPageBreak/>
              <w:t>providenciar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reserva e preparo do local da Conferência, garantindo material e equipamentos necessários ao desenvolvimento dos trabalhos;</w:t>
            </w:r>
          </w:p>
          <w:p w:rsidR="00B64610" w:rsidRPr="00B64610" w:rsidRDefault="00B64610" w:rsidP="00B64610">
            <w:pPr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providenciar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a limpeza e boa apresentação dos locais a serem utilizados para o evento, bem como a identificação dos mesmos;</w:t>
            </w:r>
          </w:p>
          <w:p w:rsidR="00B64610" w:rsidRPr="00B64610" w:rsidRDefault="00B64610" w:rsidP="00B64610">
            <w:pPr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providenciar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e coordenar a estrutura de transporte para a Conferência;</w:t>
            </w:r>
          </w:p>
          <w:p w:rsidR="00B64610" w:rsidRPr="00B64610" w:rsidRDefault="00B64610" w:rsidP="00B64610">
            <w:pPr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montar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um serviço de saúde para atendimento de emergência aos participantes da Conferência, bem como possibilitar o transporte e o atendimento hospitalar em instituições previamente contatadas;</w:t>
            </w:r>
          </w:p>
          <w:p w:rsidR="00B64610" w:rsidRPr="00B64610" w:rsidRDefault="00B64610" w:rsidP="00B64610">
            <w:pPr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providenciar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o material necessário para o funcionamento da secretaria e das subcomissões durante o evento;</w:t>
            </w:r>
          </w:p>
          <w:p w:rsidR="00B64610" w:rsidRPr="00B64610" w:rsidRDefault="00B64610" w:rsidP="00B64610">
            <w:pPr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articular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-se com as demais subcomissões, garantindo o bom andamento dos trabalhos.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Art. 23 – São competências da Subcomissão da Recepção e Hospedagem:</w:t>
            </w:r>
          </w:p>
          <w:p w:rsidR="00B64610" w:rsidRPr="00B64610" w:rsidRDefault="00B64610" w:rsidP="00B64610">
            <w:pPr>
              <w:numPr>
                <w:ilvl w:val="0"/>
                <w:numId w:val="15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proceder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a reserva de hospedagem e alimentação para conferencistas e convidados especiais;</w:t>
            </w:r>
          </w:p>
          <w:p w:rsidR="00B64610" w:rsidRPr="00B64610" w:rsidRDefault="00B64610" w:rsidP="00B64610">
            <w:pPr>
              <w:numPr>
                <w:ilvl w:val="0"/>
                <w:numId w:val="15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proceder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levantamento e divulgação das opções para hospedagem e refeições para os delegados e participantes da Conferência;</w:t>
            </w:r>
          </w:p>
          <w:p w:rsidR="00B64610" w:rsidRPr="00B64610" w:rsidRDefault="00B64610" w:rsidP="00B64610">
            <w:pPr>
              <w:numPr>
                <w:ilvl w:val="0"/>
                <w:numId w:val="15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estabelecer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um sistema de recepção aos conferencistas, autoridades e convidados especiais;</w:t>
            </w:r>
          </w:p>
          <w:p w:rsidR="00B64610" w:rsidRPr="00B64610" w:rsidRDefault="00B64610" w:rsidP="00B64610">
            <w:pPr>
              <w:numPr>
                <w:ilvl w:val="0"/>
                <w:numId w:val="15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articular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com a Subcomissão de Apoio Logístico o transporte para os conferencistas, convidados especiais e autoridades;</w:t>
            </w:r>
          </w:p>
          <w:p w:rsidR="00B64610" w:rsidRPr="00B64610" w:rsidRDefault="00B64610" w:rsidP="00B64610">
            <w:pPr>
              <w:numPr>
                <w:ilvl w:val="0"/>
                <w:numId w:val="15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apresentar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à Comissão Organizadora, propostas de programações socioculturais;</w:t>
            </w:r>
          </w:p>
          <w:p w:rsidR="00B64610" w:rsidRPr="00B64610" w:rsidRDefault="00B64610" w:rsidP="00B64610">
            <w:pPr>
              <w:numPr>
                <w:ilvl w:val="0"/>
                <w:numId w:val="15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prever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recepcionistas para todos os locais de realização da Conferência e </w:t>
            </w:r>
          </w:p>
          <w:p w:rsidR="00B64610" w:rsidRPr="00B64610" w:rsidRDefault="00B64610" w:rsidP="00B64610">
            <w:pPr>
              <w:numPr>
                <w:ilvl w:val="0"/>
                <w:numId w:val="15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articular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-se com as demais subcomissões, garantindo o bom andamento dos trabalhos. 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Arial"/>
                <w:sz w:val="20"/>
                <w:szCs w:val="20"/>
                <w:lang w:eastAsia="pt-BR"/>
              </w:rPr>
              <w:t>Parágrafo Único – Os custos com deslocamento, alimentação e hospedagem são de responsabilidade de cada Secretaria Municipal de Saúde/Conselho Municipal de Saúde.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Art. 24 – São competências da Subcomissão de Documentação e Programa:</w:t>
            </w:r>
          </w:p>
          <w:p w:rsidR="00B64610" w:rsidRPr="00B64610" w:rsidRDefault="00B64610" w:rsidP="00B64610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elaborar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a proposta de Programação do Evento, nos seus aspectos metodológicos e de conteúdo, indicando conferencistas, debatedores e presidentes de mesa;</w:t>
            </w:r>
          </w:p>
          <w:p w:rsidR="00B64610" w:rsidRPr="00B64610" w:rsidRDefault="00B64610" w:rsidP="00B64610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coordenar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a dinâmica de desenvolvimento técnico da programação e dos trabalhos de discussão em grupos, elaborando as respectivas orientações;</w:t>
            </w:r>
          </w:p>
          <w:p w:rsidR="00B64610" w:rsidRPr="00B64610" w:rsidRDefault="00B64610" w:rsidP="00B64610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participar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na elaboração do documento-síntese das contribuições contidas nos relatórios da Etapa Municipal, providenciando a sua distribuição;</w:t>
            </w:r>
          </w:p>
          <w:p w:rsidR="00B64610" w:rsidRPr="00B64610" w:rsidRDefault="00B64610" w:rsidP="00B64610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promover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a produção, a seleção e a reprodução de textos relacionados ao temário para subsidiar as discussões durante a Conferência, de acordo com os termos de referência do artigo 9</w:t>
            </w:r>
            <w:r w:rsidRPr="00B64610">
              <w:rPr>
                <w:rFonts w:ascii="Arial" w:eastAsia="Times New Roman" w:hAnsi="Arial" w:cs="Times New Roman"/>
                <w:sz w:val="20"/>
                <w:szCs w:val="20"/>
                <w:vertAlign w:val="superscript"/>
                <w:lang w:eastAsia="pt-BR"/>
              </w:rPr>
              <w:t>o</w:t>
            </w: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;</w:t>
            </w:r>
          </w:p>
          <w:p w:rsidR="00B64610" w:rsidRPr="00B64610" w:rsidRDefault="00B64610" w:rsidP="00B64610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orientar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e participar na elaboração do documento-síntese das contribuições contidas nos relatórios das Etapas Municipais;</w:t>
            </w:r>
          </w:p>
          <w:p w:rsidR="00B64610" w:rsidRPr="00B64610" w:rsidRDefault="00B64610" w:rsidP="00B64610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elaborar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“Memórias das Conferências Estaduais de Saúde de Santa Catarina”;</w:t>
            </w:r>
          </w:p>
          <w:p w:rsidR="00B64610" w:rsidRPr="00B64610" w:rsidRDefault="00B64610" w:rsidP="00B64610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resgatar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os anais e relatórios das Conferências Estaduais de Saúde anteriores; e</w:t>
            </w:r>
          </w:p>
          <w:p w:rsidR="00B64610" w:rsidRPr="00B64610" w:rsidRDefault="00B64610" w:rsidP="00B64610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articular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-se com as outras subcomissões para o bom desenvolvimento da IV Conferência Estadual de Saúde.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Art. 25 – São competências da Subcomissão de Secretaria:</w:t>
            </w:r>
          </w:p>
          <w:p w:rsidR="00B64610" w:rsidRPr="00B64610" w:rsidRDefault="00B64610" w:rsidP="00B64610">
            <w:pPr>
              <w:numPr>
                <w:ilvl w:val="0"/>
                <w:numId w:val="17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desenvolver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todas as atividades administrativas da Conferência;</w:t>
            </w:r>
          </w:p>
          <w:p w:rsidR="00B64610" w:rsidRPr="00B64610" w:rsidRDefault="00B64610" w:rsidP="00B64610">
            <w:pPr>
              <w:numPr>
                <w:ilvl w:val="0"/>
                <w:numId w:val="17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fazer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o credenciamento e a distribuição dos delegados e participantes nos grupos de trabalho; </w:t>
            </w:r>
          </w:p>
          <w:p w:rsidR="00B64610" w:rsidRPr="00B64610" w:rsidRDefault="00B64610" w:rsidP="00B64610">
            <w:pPr>
              <w:numPr>
                <w:ilvl w:val="0"/>
                <w:numId w:val="17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emitir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os certificados de participação aos delegados e participantes;</w:t>
            </w:r>
          </w:p>
          <w:p w:rsidR="00B64610" w:rsidRPr="00B64610" w:rsidRDefault="00B64610" w:rsidP="00B64610">
            <w:pPr>
              <w:numPr>
                <w:ilvl w:val="0"/>
                <w:numId w:val="17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organizar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e distribuir o material aos participantes;</w:t>
            </w:r>
          </w:p>
          <w:p w:rsidR="00B64610" w:rsidRPr="00B64610" w:rsidRDefault="00B64610" w:rsidP="00B64610">
            <w:pPr>
              <w:numPr>
                <w:ilvl w:val="0"/>
                <w:numId w:val="17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encaminhar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à Comissão Organizadora da XII Conferência Nacional de Saúde o Relatório Final e os Anais da IV Conferência Estadual de Saúde e a relação nominal dos delegados do Estado Santa Catarina e,</w:t>
            </w:r>
          </w:p>
          <w:p w:rsidR="00B64610" w:rsidRPr="00B64610" w:rsidRDefault="00B64610" w:rsidP="00B64610">
            <w:pPr>
              <w:numPr>
                <w:ilvl w:val="0"/>
                <w:numId w:val="17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lastRenderedPageBreak/>
              <w:t>articular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-se com as outras subcomissões para o bom desenvolvimento da IV Conferência Estadual de Saúde.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Art. 26 – São competências da subcomissão de Apoio às Etapas Municipais:</w:t>
            </w:r>
          </w:p>
          <w:p w:rsidR="00B64610" w:rsidRPr="00B64610" w:rsidRDefault="00B64610" w:rsidP="00B64610">
            <w:pPr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articular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-se com os municípios e as Regionais de Saúde e orientar sobre as Conferências Municipais;</w:t>
            </w:r>
          </w:p>
          <w:p w:rsidR="00B64610" w:rsidRPr="00B64610" w:rsidRDefault="00B64610" w:rsidP="00B64610">
            <w:pPr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divulgar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e orientar todos os critérios de participação nas conferências municipais;</w:t>
            </w:r>
          </w:p>
          <w:p w:rsidR="00B64610" w:rsidRPr="00B64610" w:rsidRDefault="00B64610" w:rsidP="00B64610">
            <w:pPr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assessorar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o Coordenador Executivo nas questões pertinentes;</w:t>
            </w:r>
          </w:p>
          <w:p w:rsidR="00B64610" w:rsidRPr="00B64610" w:rsidRDefault="00B64610" w:rsidP="00B64610">
            <w:pPr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levantar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lista dos técnicos da SES e universidades que estarão à disposição para abordar a temática nas conferências; e</w:t>
            </w:r>
          </w:p>
          <w:p w:rsidR="00B64610" w:rsidRPr="00B64610" w:rsidRDefault="00B64610" w:rsidP="00B64610">
            <w:pPr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articular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-se com as outras subcomissões para o bom desenvolvimento da IV Conferência Estadual de Saúde.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center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CAPÍTULO V</w:t>
            </w:r>
          </w:p>
          <w:p w:rsidR="00B64610" w:rsidRPr="00B64610" w:rsidRDefault="00B64610" w:rsidP="00B64610">
            <w:pPr>
              <w:spacing w:after="0" w:line="240" w:lineRule="auto"/>
              <w:jc w:val="center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Das Disposições Gerais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4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Arial"/>
                <w:sz w:val="20"/>
                <w:szCs w:val="20"/>
                <w:lang w:eastAsia="pt-BR"/>
              </w:rPr>
              <w:t>Art. 27 – A Secretaria de Estado da Saúde promoverá apoio técnico, administrativo e financeiro necessário ao funcionamento da Comissão Organizadora da IV Conferência Estadual de Saúde.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Art. 28 – Poderão ser firmados convênios e contratados serviços de apoio, com vistas à execução de ações necessárias à realização da IV Conferência Estadual de Saúde.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Parágrafo Único – As despesas com a organização geral e a realização da Conferência correrão por conta da Secretaria de Estado da Saúde. 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Art. 29 – Serão conferidos certificados aos membros participantes da IV Conferência Estadual de Saúde, especificando-se a condição de participação.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Art. 30 – O credenciamento (obrigatório) dos Delegados deverá ser realizado junto à Secretaria da Comissão Organizadora, se por FAX ou via Correios, até </w:t>
            </w: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as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18 horas do dia </w:t>
            </w:r>
            <w:r w:rsidRPr="00B64610">
              <w:rPr>
                <w:rFonts w:ascii="Arial" w:eastAsia="Times New Roman" w:hAnsi="Arial" w:cs="Times New Roman"/>
                <w:color w:val="000000"/>
                <w:sz w:val="20"/>
                <w:szCs w:val="20"/>
                <w:lang w:eastAsia="pt-BR"/>
              </w:rPr>
              <w:t>22/10/03</w:t>
            </w: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, se presencial até às 20 horas do dia 23/10/03.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4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Arial"/>
                <w:sz w:val="20"/>
                <w:szCs w:val="20"/>
                <w:lang w:eastAsia="pt-BR"/>
              </w:rPr>
              <w:t xml:space="preserve">Art. 31 – Os casos omissos do Capítulo I ao Capítulo V do Regulamento serão resolvidos pela Comissão Organizadora. 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center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CAPÍTULO VI</w:t>
            </w:r>
            <w:proofErr w:type="gramEnd"/>
          </w:p>
          <w:p w:rsidR="00B64610" w:rsidRPr="00B64610" w:rsidRDefault="00B64610" w:rsidP="00B64610">
            <w:pPr>
              <w:spacing w:after="0" w:line="240" w:lineRule="auto"/>
              <w:jc w:val="center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Do Funcionamento da Conferência</w:t>
            </w:r>
          </w:p>
          <w:p w:rsidR="00B64610" w:rsidRPr="00B64610" w:rsidRDefault="00B64610" w:rsidP="00B64610">
            <w:pPr>
              <w:spacing w:after="0" w:line="240" w:lineRule="auto"/>
              <w:jc w:val="center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center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SEÇÃO I</w:t>
            </w:r>
          </w:p>
          <w:p w:rsidR="00B64610" w:rsidRPr="00B64610" w:rsidRDefault="00B64610" w:rsidP="00B64610">
            <w:pPr>
              <w:spacing w:after="0" w:line="240" w:lineRule="auto"/>
              <w:jc w:val="center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Dos Grupos de Trabalho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Art. 32 – Cada Grupo de Trabalho será formado por um mínimo de 30 (trinta) e um máximo de 60 (sessenta) membros participantes.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Parágrafo 1</w:t>
            </w:r>
            <w:r w:rsidRPr="00B64610">
              <w:rPr>
                <w:rFonts w:ascii="Arial" w:eastAsia="Times New Roman" w:hAnsi="Arial" w:cs="Times New Roman"/>
                <w:sz w:val="20"/>
                <w:szCs w:val="20"/>
                <w:vertAlign w:val="superscript"/>
                <w:lang w:eastAsia="pt-BR"/>
              </w:rPr>
              <w:t xml:space="preserve">o </w:t>
            </w: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– O Grupo de Trabalho terá um coordenador e um relator eleitos pelo próprio grupo, com a função de presidir a reunião, controlar o tempo e estimular a participação de todos os membros do Grupo de Trabalho, e garantir todos os registros relativos à discussão e conclusões dos trabalhos, respectivamente.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Parágrafo 2</w:t>
            </w:r>
            <w:r w:rsidRPr="00B64610">
              <w:rPr>
                <w:rFonts w:ascii="Arial" w:eastAsia="Times New Roman" w:hAnsi="Arial" w:cs="Times New Roman"/>
                <w:sz w:val="20"/>
                <w:szCs w:val="20"/>
                <w:vertAlign w:val="superscript"/>
                <w:lang w:eastAsia="pt-BR"/>
              </w:rPr>
              <w:t>o</w:t>
            </w: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– Do Relatório do Grupo de Trabalho farão parte as propostas aprovadas pela maioria simples dos participantes, o qual será encaminhado à Subcomissão de Relatoria.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64610">
              <w:rPr>
                <w:rFonts w:ascii="Arial" w:eastAsia="Times New Roman" w:hAnsi="Arial" w:cs="Arial"/>
                <w:sz w:val="20"/>
                <w:szCs w:val="20"/>
                <w:lang w:eastAsia="pt-BR"/>
              </w:rPr>
              <w:t>SEÇÃO II</w:t>
            </w:r>
          </w:p>
          <w:p w:rsidR="00B64610" w:rsidRPr="00B64610" w:rsidRDefault="00B64610" w:rsidP="00B64610">
            <w:pPr>
              <w:spacing w:after="0" w:line="240" w:lineRule="auto"/>
              <w:jc w:val="center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Da Plenária Final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Art. 33 – A Plenária Final da IV Conferência Estadual de Saúde terá como objetivo debater e aprovar o Relatório Final, as moções apresentadas e referendar a escolha dos Delegados de Santa Catarina, para a XII Conferência Nacional de Saúde, definidos em </w:t>
            </w:r>
            <w:proofErr w:type="spell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assembléias</w:t>
            </w:r>
            <w:proofErr w:type="spell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específicas por segmentos. 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Parágrafo Único - No sentido de facilitar o encaminhamento dos trabalhos, a Comissão Organizadora designará localizações específicas para os delegados e os demais participantes.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Art. 34 – Os trabalhos serão coordenados por uma mesa constituída por membros da Comissão Organizadora e dirigida pelo seu Presidente, ou alguém por ele indicado.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Parágrafo Único: Os trabalhos serão secretariados pelos membros da Subcomissão de Relatoria.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Art. 35 – Da agenda da Plenária Final constarão os seguintes itens:</w:t>
            </w:r>
          </w:p>
          <w:p w:rsidR="00B64610" w:rsidRPr="00B64610" w:rsidRDefault="00B64610" w:rsidP="00B64610">
            <w:pPr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Apreciação da Proposta de Relatório Final;</w:t>
            </w:r>
          </w:p>
          <w:p w:rsidR="00B64610" w:rsidRPr="00B64610" w:rsidRDefault="00B64610" w:rsidP="00B64610">
            <w:pPr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Apreciação das Moções e,</w:t>
            </w:r>
          </w:p>
          <w:p w:rsidR="00B64610" w:rsidRPr="00B64610" w:rsidRDefault="00B64610" w:rsidP="00B64610">
            <w:pPr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Referendo dos Delegados para a XII Conferência Nacional de Saúde.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Art. 36 – A apreciação da Proposta de Relatório Final será encaminhada da forma que segue:</w:t>
            </w:r>
          </w:p>
          <w:p w:rsidR="00B64610" w:rsidRPr="00B64610" w:rsidRDefault="00B64610" w:rsidP="00B64610">
            <w:pPr>
              <w:numPr>
                <w:ilvl w:val="0"/>
                <w:numId w:val="20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Proceder-se-á com antecedência a distribuição da Proposta de Relatório</w:t>
            </w: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 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Final, preparada pela Subcomissão de Relatoria, a partir dos relatórios dos Grupos de Trabalho;</w:t>
            </w:r>
          </w:p>
          <w:p w:rsidR="00B64610" w:rsidRPr="00B64610" w:rsidRDefault="00B64610" w:rsidP="00B64610">
            <w:pPr>
              <w:numPr>
                <w:ilvl w:val="0"/>
                <w:numId w:val="20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Assegurar-se-á aos delegados o direito de solicitar o exame em destaque de qualquer item da Proposta de Relatório Final;</w:t>
            </w:r>
          </w:p>
          <w:p w:rsidR="00B64610" w:rsidRPr="00B64610" w:rsidRDefault="00B64610" w:rsidP="00B64610">
            <w:pPr>
              <w:numPr>
                <w:ilvl w:val="0"/>
                <w:numId w:val="20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As solicitações de destaque deverão ser encaminhadas por escrito, até o final da leitura da Proposta de Relatório Final pela Mesa, constituindo-se em proposições de redação substitutiva, aditiva ou supressiva, em relação ao item destacado;</w:t>
            </w:r>
          </w:p>
          <w:p w:rsidR="00B64610" w:rsidRPr="00B64610" w:rsidRDefault="00B64610" w:rsidP="00B64610">
            <w:pPr>
              <w:numPr>
                <w:ilvl w:val="0"/>
                <w:numId w:val="20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Identificado o conjunto dos itens de destaque, proceder-se-á a votação da Proposta de Relatório Final, ressalvando-se esses itens;</w:t>
            </w:r>
          </w:p>
          <w:p w:rsidR="00B64610" w:rsidRPr="00B64610" w:rsidRDefault="00B64610" w:rsidP="00B64610">
            <w:pPr>
              <w:numPr>
                <w:ilvl w:val="0"/>
                <w:numId w:val="20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Após a votação do Relatório Final, serão chamadas, uma a uma, as apresentações de destaque; </w:t>
            </w:r>
          </w:p>
          <w:p w:rsidR="00B64610" w:rsidRPr="00B64610" w:rsidRDefault="00B64610" w:rsidP="00B64610">
            <w:pPr>
              <w:numPr>
                <w:ilvl w:val="0"/>
                <w:numId w:val="20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Os propositores de destaque terão 02 (dois) minutos improrrogáveis, para a defesa do seu ponto de vista. O presidente da Mesa concederá a palavra a seguir, por tempo igual, ao delegado ou participante que apresente posição contrária à do propositor do destaque. A Mesa poderá conceder réplica ou tréplica com a anuência do Plenário.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Art. 37 – As moções encaminhadas deverão tratar de assuntos de âmbito e/ou repercussão estadual e/ou nacional, redigidas em uma lauda no máximo e apresentadas à Secretaria da Conferência até às </w:t>
            </w: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18:00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horas do dia 24/10/03.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§ 1</w:t>
            </w:r>
            <w:r w:rsidRPr="00B64610">
              <w:rPr>
                <w:rFonts w:ascii="Arial" w:eastAsia="Times New Roman" w:hAnsi="Arial" w:cs="Times New Roman"/>
                <w:sz w:val="20"/>
                <w:szCs w:val="20"/>
                <w:vertAlign w:val="superscript"/>
                <w:lang w:eastAsia="pt-BR"/>
              </w:rPr>
              <w:t>o</w:t>
            </w: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– Cada moção deverá conter pelo menos 50 assinaturas das quais 25 devem ser de delegados.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§ 2</w:t>
            </w:r>
            <w:r w:rsidRPr="00B64610">
              <w:rPr>
                <w:rFonts w:ascii="Arial" w:eastAsia="Times New Roman" w:hAnsi="Arial" w:cs="Times New Roman"/>
                <w:sz w:val="20"/>
                <w:szCs w:val="20"/>
                <w:vertAlign w:val="superscript"/>
                <w:lang w:eastAsia="pt-BR"/>
              </w:rPr>
              <w:t>o</w:t>
            </w: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– A Relatoria organizará as moções recebidas, classificando-as e agrupando-as por áreas temáticas, dando ciência aos propositores para que organizem a apresentação na Plenária, facilitando o andamento dos trabalhos.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§ 3</w:t>
            </w:r>
            <w:r w:rsidRPr="00B64610">
              <w:rPr>
                <w:rFonts w:ascii="Arial" w:eastAsia="Times New Roman" w:hAnsi="Arial" w:cs="Times New Roman"/>
                <w:sz w:val="20"/>
                <w:szCs w:val="20"/>
                <w:vertAlign w:val="superscript"/>
                <w:lang w:eastAsia="pt-BR"/>
              </w:rPr>
              <w:t>o</w:t>
            </w: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– Encerrada a fase de apreciação do Relatório Final da Conferência, o Presidente da Mesa fará leitura das moções por área temática, garantindo o tempo de 02 (dois) minutos, no máximo, para defesa da moção.  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§ 4</w:t>
            </w:r>
            <w:r w:rsidRPr="00B64610">
              <w:rPr>
                <w:rFonts w:ascii="Arial" w:eastAsia="Times New Roman" w:hAnsi="Arial" w:cs="Times New Roman"/>
                <w:sz w:val="20"/>
                <w:szCs w:val="20"/>
                <w:vertAlign w:val="superscript"/>
                <w:lang w:eastAsia="pt-BR"/>
              </w:rPr>
              <w:t>o</w:t>
            </w: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– Serão concedidos 02 (dois) minutos, no máximo, para defesa de ponto de vista contrário ao expresso na moção. 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§ 5</w:t>
            </w:r>
            <w:r w:rsidRPr="00B64610">
              <w:rPr>
                <w:rFonts w:ascii="Arial" w:eastAsia="Times New Roman" w:hAnsi="Arial" w:cs="Times New Roman"/>
                <w:sz w:val="20"/>
                <w:szCs w:val="20"/>
                <w:vertAlign w:val="superscript"/>
                <w:lang w:eastAsia="pt-BR"/>
              </w:rPr>
              <w:t>o</w:t>
            </w: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– A seguir, a moção será colocada em votação. Não será aceita, em hipótese alguma, réplica. 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Art. 38 – Concluída a apreciação das moções, iniciar-se-á a eleição dos delegados de Santa Catarina à XII Conferência Nacional de Saúde, que se procederá da seguinte maneira:</w:t>
            </w:r>
          </w:p>
          <w:p w:rsidR="00B64610" w:rsidRPr="00B64610" w:rsidRDefault="00B64610" w:rsidP="00B64610">
            <w:pPr>
              <w:numPr>
                <w:ilvl w:val="0"/>
                <w:numId w:val="21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os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delegados serão separados em quatro grupos, cada um representando um segmento;</w:t>
            </w:r>
          </w:p>
          <w:p w:rsidR="00B64610" w:rsidRPr="00B64610" w:rsidRDefault="00B64610" w:rsidP="00B64610">
            <w:pPr>
              <w:numPr>
                <w:ilvl w:val="0"/>
                <w:numId w:val="21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cada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segmento elege os seus delegados e,</w:t>
            </w:r>
          </w:p>
          <w:p w:rsidR="00B64610" w:rsidRPr="00B64610" w:rsidRDefault="00B64610" w:rsidP="00B64610">
            <w:pPr>
              <w:numPr>
                <w:ilvl w:val="0"/>
                <w:numId w:val="21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de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posse da relação de todos os delegados eleitos pelos quatro segmentos, a mesa apresenta os nomes para homologação da Plenária.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Art. 39 – O </w:t>
            </w:r>
            <w:proofErr w:type="spellStart"/>
            <w:r w:rsidRPr="00B64610">
              <w:rPr>
                <w:rFonts w:ascii="Arial" w:eastAsia="Times New Roman" w:hAnsi="Arial" w:cs="Times New Roman"/>
                <w:i/>
                <w:sz w:val="20"/>
                <w:szCs w:val="20"/>
                <w:lang w:eastAsia="pt-BR"/>
              </w:rPr>
              <w:t>quorum</w:t>
            </w:r>
            <w:proofErr w:type="spell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para aprovação das matérias pela Plenária será o de maioria simples dos delegados presentes. 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Art. 40 – Assegura-se aos Delegados da Plenária Final o questionamento à Mesa “PELA ORDEM”, sempre que a critério de qualquer um desses membros não esteja sendo cumprido o Regimento da Conferência. 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Art. 41 – Durante os períodos de votação será vedado qualquer tipo de intervenção.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Art. 42 – </w:t>
            </w: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Os casos omissos do Capítulo VI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serão resolvidos pela Mesa Diretora dos trabalhos.</w:t>
            </w: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</w:p>
          <w:p w:rsidR="00B64610" w:rsidRPr="00B64610" w:rsidRDefault="00B64610" w:rsidP="00B64610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Art. 43 – </w:t>
            </w:r>
            <w:proofErr w:type="gramStart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O Capítulo VI</w:t>
            </w:r>
            <w:proofErr w:type="gramEnd"/>
            <w:r w:rsidRPr="00B64610"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 (Do Funcionamento da Conferência) do presente Regulamento será colocado para deliberação dos delegados, de acordo com a programação dos trabalhos. </w:t>
            </w:r>
          </w:p>
          <w:p w:rsidR="00B64610" w:rsidRPr="00B64610" w:rsidRDefault="00B64610" w:rsidP="00B6461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t-BR"/>
              </w:rPr>
            </w:pPr>
          </w:p>
        </w:tc>
      </w:tr>
    </w:tbl>
    <w:p w:rsidR="00DF458F" w:rsidRDefault="00DF458F"/>
    <w:sectPr w:rsidR="00DF458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9A0256"/>
    <w:multiLevelType w:val="singleLevel"/>
    <w:tmpl w:val="0416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">
    <w:nsid w:val="06EC43D0"/>
    <w:multiLevelType w:val="singleLevel"/>
    <w:tmpl w:val="0416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2">
    <w:nsid w:val="0C7A4E8A"/>
    <w:multiLevelType w:val="singleLevel"/>
    <w:tmpl w:val="0416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3">
    <w:nsid w:val="0FF60E92"/>
    <w:multiLevelType w:val="singleLevel"/>
    <w:tmpl w:val="0416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4">
    <w:nsid w:val="16DB0EE5"/>
    <w:multiLevelType w:val="singleLevel"/>
    <w:tmpl w:val="0416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5">
    <w:nsid w:val="17DE5831"/>
    <w:multiLevelType w:val="singleLevel"/>
    <w:tmpl w:val="0416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6">
    <w:nsid w:val="20E06159"/>
    <w:multiLevelType w:val="singleLevel"/>
    <w:tmpl w:val="0416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7">
    <w:nsid w:val="2CDD5892"/>
    <w:multiLevelType w:val="singleLevel"/>
    <w:tmpl w:val="0416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8">
    <w:nsid w:val="2E7B6258"/>
    <w:multiLevelType w:val="singleLevel"/>
    <w:tmpl w:val="07AC9D48"/>
    <w:lvl w:ilvl="0">
      <w:start w:val="1"/>
      <w:numFmt w:val="lowerLetter"/>
      <w:lvlText w:val="%1)"/>
      <w:lvlJc w:val="left"/>
      <w:pPr>
        <w:tabs>
          <w:tab w:val="num" w:pos="405"/>
        </w:tabs>
        <w:ind w:left="405" w:hanging="405"/>
      </w:pPr>
    </w:lvl>
  </w:abstractNum>
  <w:abstractNum w:abstractNumId="9">
    <w:nsid w:val="2ECD270C"/>
    <w:multiLevelType w:val="singleLevel"/>
    <w:tmpl w:val="0416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0">
    <w:nsid w:val="321C0695"/>
    <w:multiLevelType w:val="singleLevel"/>
    <w:tmpl w:val="0416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1">
    <w:nsid w:val="347D4D78"/>
    <w:multiLevelType w:val="singleLevel"/>
    <w:tmpl w:val="0416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2">
    <w:nsid w:val="3A5631D0"/>
    <w:multiLevelType w:val="singleLevel"/>
    <w:tmpl w:val="0416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3">
    <w:nsid w:val="3CDA40B4"/>
    <w:multiLevelType w:val="singleLevel"/>
    <w:tmpl w:val="0416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4">
    <w:nsid w:val="3ED41800"/>
    <w:multiLevelType w:val="singleLevel"/>
    <w:tmpl w:val="0416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5">
    <w:nsid w:val="3FA55863"/>
    <w:multiLevelType w:val="singleLevel"/>
    <w:tmpl w:val="0416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6">
    <w:nsid w:val="46991A1A"/>
    <w:multiLevelType w:val="singleLevel"/>
    <w:tmpl w:val="0416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7">
    <w:nsid w:val="54795FEA"/>
    <w:multiLevelType w:val="singleLevel"/>
    <w:tmpl w:val="98F6AF80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</w:abstractNum>
  <w:abstractNum w:abstractNumId="18">
    <w:nsid w:val="5BF87ABA"/>
    <w:multiLevelType w:val="singleLevel"/>
    <w:tmpl w:val="0416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9">
    <w:nsid w:val="70C05214"/>
    <w:multiLevelType w:val="singleLevel"/>
    <w:tmpl w:val="0416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20">
    <w:nsid w:val="7F81464D"/>
    <w:multiLevelType w:val="singleLevel"/>
    <w:tmpl w:val="0416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num w:numId="1">
    <w:abstractNumId w:val="15"/>
    <w:lvlOverride w:ilvl="0">
      <w:startOverride w:val="1"/>
    </w:lvlOverride>
  </w:num>
  <w:num w:numId="2">
    <w:abstractNumId w:val="6"/>
    <w:lvlOverride w:ilvl="0">
      <w:startOverride w:val="1"/>
    </w:lvlOverride>
  </w:num>
  <w:num w:numId="3">
    <w:abstractNumId w:val="18"/>
    <w:lvlOverride w:ilvl="0">
      <w:startOverride w:val="1"/>
    </w:lvlOverride>
  </w:num>
  <w:num w:numId="4">
    <w:abstractNumId w:val="0"/>
    <w:lvlOverride w:ilvl="0">
      <w:startOverride w:val="1"/>
    </w:lvlOverride>
  </w:num>
  <w:num w:numId="5">
    <w:abstractNumId w:val="17"/>
    <w:lvlOverride w:ilvl="0"/>
  </w:num>
  <w:num w:numId="6">
    <w:abstractNumId w:val="10"/>
    <w:lvlOverride w:ilvl="0">
      <w:startOverride w:val="1"/>
    </w:lvlOverride>
  </w:num>
  <w:num w:numId="7">
    <w:abstractNumId w:val="7"/>
    <w:lvlOverride w:ilvl="0">
      <w:startOverride w:val="1"/>
    </w:lvlOverride>
  </w:num>
  <w:num w:numId="8">
    <w:abstractNumId w:val="4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3"/>
    <w:lvlOverride w:ilvl="0">
      <w:startOverride w:val="1"/>
    </w:lvlOverride>
  </w:num>
  <w:num w:numId="11">
    <w:abstractNumId w:val="19"/>
    <w:lvlOverride w:ilvl="0">
      <w:startOverride w:val="1"/>
    </w:lvlOverride>
  </w:num>
  <w:num w:numId="12">
    <w:abstractNumId w:val="3"/>
    <w:lvlOverride w:ilvl="0">
      <w:startOverride w:val="1"/>
    </w:lvlOverride>
  </w:num>
  <w:num w:numId="13">
    <w:abstractNumId w:val="14"/>
    <w:lvlOverride w:ilvl="0">
      <w:startOverride w:val="1"/>
    </w:lvlOverride>
  </w:num>
  <w:num w:numId="14">
    <w:abstractNumId w:val="20"/>
    <w:lvlOverride w:ilvl="0">
      <w:startOverride w:val="1"/>
    </w:lvlOverride>
  </w:num>
  <w:num w:numId="15">
    <w:abstractNumId w:val="9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2"/>
    <w:lvlOverride w:ilvl="0">
      <w:startOverride w:val="1"/>
    </w:lvlOverride>
  </w:num>
  <w:num w:numId="19">
    <w:abstractNumId w:val="2"/>
    <w:lvlOverride w:ilvl="0">
      <w:startOverride w:val="1"/>
    </w:lvlOverride>
  </w:num>
  <w:num w:numId="20">
    <w:abstractNumId w:val="16"/>
    <w:lvlOverride w:ilvl="0">
      <w:startOverride w:val="1"/>
    </w:lvlOverride>
  </w:num>
  <w:num w:numId="21">
    <w:abstractNumId w:val="5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4610"/>
    <w:rsid w:val="00B64610"/>
    <w:rsid w:val="00DF45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B64610"/>
    <w:pPr>
      <w:keepNext/>
      <w:spacing w:after="0" w:line="240" w:lineRule="auto"/>
      <w:outlineLvl w:val="0"/>
    </w:pPr>
    <w:rPr>
      <w:rFonts w:ascii="Arial" w:eastAsia="Times New Roman" w:hAnsi="Arial" w:cs="Times New Roman"/>
      <w:sz w:val="48"/>
      <w:szCs w:val="20"/>
      <w:lang w:eastAsia="pt-BR"/>
    </w:rPr>
  </w:style>
  <w:style w:type="paragraph" w:styleId="Ttulo2">
    <w:name w:val="heading 2"/>
    <w:basedOn w:val="Normal"/>
    <w:next w:val="Normal"/>
    <w:link w:val="Ttulo2Char"/>
    <w:uiPriority w:val="9"/>
    <w:qFormat/>
    <w:rsid w:val="00B64610"/>
    <w:pPr>
      <w:keepNext/>
      <w:spacing w:after="0" w:line="240" w:lineRule="auto"/>
      <w:jc w:val="center"/>
      <w:outlineLvl w:val="1"/>
    </w:pPr>
    <w:rPr>
      <w:rFonts w:ascii="Arial" w:eastAsia="Times New Roman" w:hAnsi="Arial" w:cs="Times New Roman"/>
      <w:sz w:val="36"/>
      <w:szCs w:val="20"/>
      <w:lang w:eastAsia="pt-BR"/>
    </w:rPr>
  </w:style>
  <w:style w:type="paragraph" w:styleId="Ttulo3">
    <w:name w:val="heading 3"/>
    <w:basedOn w:val="Normal"/>
    <w:next w:val="Normal"/>
    <w:link w:val="Ttulo3Char"/>
    <w:uiPriority w:val="9"/>
    <w:qFormat/>
    <w:rsid w:val="00B64610"/>
    <w:pPr>
      <w:keepNext/>
      <w:spacing w:after="0" w:line="240" w:lineRule="auto"/>
      <w:jc w:val="center"/>
      <w:outlineLvl w:val="2"/>
    </w:pPr>
    <w:rPr>
      <w:rFonts w:ascii="Arial" w:eastAsia="Times New Roman" w:hAnsi="Arial" w:cs="Times New Roman"/>
      <w:b/>
      <w:sz w:val="27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B64610"/>
    <w:rPr>
      <w:rFonts w:ascii="Arial" w:eastAsia="Times New Roman" w:hAnsi="Arial" w:cs="Times New Roman"/>
      <w:sz w:val="48"/>
      <w:szCs w:val="20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rsid w:val="00B64610"/>
    <w:rPr>
      <w:rFonts w:ascii="Arial" w:eastAsia="Times New Roman" w:hAnsi="Arial" w:cs="Times New Roman"/>
      <w:sz w:val="36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rsid w:val="00B64610"/>
    <w:rPr>
      <w:rFonts w:ascii="Arial" w:eastAsia="Times New Roman" w:hAnsi="Arial" w:cs="Times New Roman"/>
      <w:b/>
      <w:sz w:val="27"/>
      <w:szCs w:val="20"/>
      <w:lang w:eastAsia="pt-BR"/>
    </w:rPr>
  </w:style>
  <w:style w:type="paragraph" w:styleId="Corpodetexto">
    <w:name w:val="Body Text"/>
    <w:basedOn w:val="Normal"/>
    <w:link w:val="CorpodetextoChar"/>
    <w:uiPriority w:val="99"/>
    <w:semiHidden/>
    <w:unhideWhenUsed/>
    <w:rsid w:val="00B64610"/>
    <w:pPr>
      <w:spacing w:after="0" w:line="240" w:lineRule="auto"/>
      <w:jc w:val="both"/>
    </w:pPr>
    <w:rPr>
      <w:rFonts w:ascii="Arial" w:eastAsia="Times New Roman" w:hAnsi="Arial" w:cs="Times New Roman"/>
      <w:color w:val="FF0000"/>
      <w:sz w:val="24"/>
      <w:szCs w:val="20"/>
      <w:lang w:eastAsia="pt-BR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rsid w:val="00B64610"/>
    <w:rPr>
      <w:rFonts w:ascii="Arial" w:eastAsia="Times New Roman" w:hAnsi="Arial" w:cs="Times New Roman"/>
      <w:color w:val="FF0000"/>
      <w:sz w:val="24"/>
      <w:szCs w:val="20"/>
      <w:lang w:eastAsia="pt-BR"/>
    </w:rPr>
  </w:style>
  <w:style w:type="paragraph" w:styleId="Corpodetexto2">
    <w:name w:val="Body Text 2"/>
    <w:basedOn w:val="Normal"/>
    <w:link w:val="Corpodetexto2Char"/>
    <w:uiPriority w:val="99"/>
    <w:semiHidden/>
    <w:unhideWhenUsed/>
    <w:rsid w:val="00B64610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semiHidden/>
    <w:rsid w:val="00B64610"/>
    <w:rPr>
      <w:rFonts w:ascii="Arial" w:eastAsia="Times New Roman" w:hAnsi="Arial" w:cs="Times New Roman"/>
      <w:sz w:val="24"/>
      <w:szCs w:val="20"/>
      <w:lang w:eastAsia="pt-BR"/>
    </w:rPr>
  </w:style>
  <w:style w:type="character" w:styleId="Forte">
    <w:name w:val="Strong"/>
    <w:basedOn w:val="Fontepargpadro"/>
    <w:uiPriority w:val="22"/>
    <w:qFormat/>
    <w:rsid w:val="00B64610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B646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B64610"/>
    <w:pPr>
      <w:keepNext/>
      <w:spacing w:after="0" w:line="240" w:lineRule="auto"/>
      <w:outlineLvl w:val="0"/>
    </w:pPr>
    <w:rPr>
      <w:rFonts w:ascii="Arial" w:eastAsia="Times New Roman" w:hAnsi="Arial" w:cs="Times New Roman"/>
      <w:sz w:val="48"/>
      <w:szCs w:val="20"/>
      <w:lang w:eastAsia="pt-BR"/>
    </w:rPr>
  </w:style>
  <w:style w:type="paragraph" w:styleId="Ttulo2">
    <w:name w:val="heading 2"/>
    <w:basedOn w:val="Normal"/>
    <w:next w:val="Normal"/>
    <w:link w:val="Ttulo2Char"/>
    <w:uiPriority w:val="9"/>
    <w:qFormat/>
    <w:rsid w:val="00B64610"/>
    <w:pPr>
      <w:keepNext/>
      <w:spacing w:after="0" w:line="240" w:lineRule="auto"/>
      <w:jc w:val="center"/>
      <w:outlineLvl w:val="1"/>
    </w:pPr>
    <w:rPr>
      <w:rFonts w:ascii="Arial" w:eastAsia="Times New Roman" w:hAnsi="Arial" w:cs="Times New Roman"/>
      <w:sz w:val="36"/>
      <w:szCs w:val="20"/>
      <w:lang w:eastAsia="pt-BR"/>
    </w:rPr>
  </w:style>
  <w:style w:type="paragraph" w:styleId="Ttulo3">
    <w:name w:val="heading 3"/>
    <w:basedOn w:val="Normal"/>
    <w:next w:val="Normal"/>
    <w:link w:val="Ttulo3Char"/>
    <w:uiPriority w:val="9"/>
    <w:qFormat/>
    <w:rsid w:val="00B64610"/>
    <w:pPr>
      <w:keepNext/>
      <w:spacing w:after="0" w:line="240" w:lineRule="auto"/>
      <w:jc w:val="center"/>
      <w:outlineLvl w:val="2"/>
    </w:pPr>
    <w:rPr>
      <w:rFonts w:ascii="Arial" w:eastAsia="Times New Roman" w:hAnsi="Arial" w:cs="Times New Roman"/>
      <w:b/>
      <w:sz w:val="27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B64610"/>
    <w:rPr>
      <w:rFonts w:ascii="Arial" w:eastAsia="Times New Roman" w:hAnsi="Arial" w:cs="Times New Roman"/>
      <w:sz w:val="48"/>
      <w:szCs w:val="20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rsid w:val="00B64610"/>
    <w:rPr>
      <w:rFonts w:ascii="Arial" w:eastAsia="Times New Roman" w:hAnsi="Arial" w:cs="Times New Roman"/>
      <w:sz w:val="36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rsid w:val="00B64610"/>
    <w:rPr>
      <w:rFonts w:ascii="Arial" w:eastAsia="Times New Roman" w:hAnsi="Arial" w:cs="Times New Roman"/>
      <w:b/>
      <w:sz w:val="27"/>
      <w:szCs w:val="20"/>
      <w:lang w:eastAsia="pt-BR"/>
    </w:rPr>
  </w:style>
  <w:style w:type="paragraph" w:styleId="Corpodetexto">
    <w:name w:val="Body Text"/>
    <w:basedOn w:val="Normal"/>
    <w:link w:val="CorpodetextoChar"/>
    <w:uiPriority w:val="99"/>
    <w:semiHidden/>
    <w:unhideWhenUsed/>
    <w:rsid w:val="00B64610"/>
    <w:pPr>
      <w:spacing w:after="0" w:line="240" w:lineRule="auto"/>
      <w:jc w:val="both"/>
    </w:pPr>
    <w:rPr>
      <w:rFonts w:ascii="Arial" w:eastAsia="Times New Roman" w:hAnsi="Arial" w:cs="Times New Roman"/>
      <w:color w:val="FF0000"/>
      <w:sz w:val="24"/>
      <w:szCs w:val="20"/>
      <w:lang w:eastAsia="pt-BR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rsid w:val="00B64610"/>
    <w:rPr>
      <w:rFonts w:ascii="Arial" w:eastAsia="Times New Roman" w:hAnsi="Arial" w:cs="Times New Roman"/>
      <w:color w:val="FF0000"/>
      <w:sz w:val="24"/>
      <w:szCs w:val="20"/>
      <w:lang w:eastAsia="pt-BR"/>
    </w:rPr>
  </w:style>
  <w:style w:type="paragraph" w:styleId="Corpodetexto2">
    <w:name w:val="Body Text 2"/>
    <w:basedOn w:val="Normal"/>
    <w:link w:val="Corpodetexto2Char"/>
    <w:uiPriority w:val="99"/>
    <w:semiHidden/>
    <w:unhideWhenUsed/>
    <w:rsid w:val="00B64610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semiHidden/>
    <w:rsid w:val="00B64610"/>
    <w:rPr>
      <w:rFonts w:ascii="Arial" w:eastAsia="Times New Roman" w:hAnsi="Arial" w:cs="Times New Roman"/>
      <w:sz w:val="24"/>
      <w:szCs w:val="20"/>
      <w:lang w:eastAsia="pt-BR"/>
    </w:rPr>
  </w:style>
  <w:style w:type="character" w:styleId="Forte">
    <w:name w:val="Strong"/>
    <w:basedOn w:val="Fontepargpadro"/>
    <w:uiPriority w:val="22"/>
    <w:qFormat/>
    <w:rsid w:val="00B64610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B646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993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3132</Words>
  <Characters>16916</Characters>
  <Application>Microsoft Office Word</Application>
  <DocSecurity>0</DocSecurity>
  <Lines>140</Lines>
  <Paragraphs>40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Jorge Pierri</dc:creator>
  <cp:lastModifiedBy>Jorge Pierri</cp:lastModifiedBy>
  <cp:revision>1</cp:revision>
  <dcterms:created xsi:type="dcterms:W3CDTF">2013-09-04T17:00:00Z</dcterms:created>
  <dcterms:modified xsi:type="dcterms:W3CDTF">2013-09-04T17:01:00Z</dcterms:modified>
</cp:coreProperties>
</file>