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tbl>
      <w:tblPr>
        <w:tblStyle w:val="7"/>
        <w:tblW w:w="0" w:type="auto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1"/>
        <w:gridCol w:w="8521"/>
      </w:tblGrid>
      <w:tr w14:paraId="566B21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auto"/>
          <w:trHeight w:val="993" w:hRule="atLeast"/>
        </w:trPr>
        <w:tc>
          <w:tcPr>
            <w:tcW w:w="1101" w:type="dxa"/>
            <w:noWrap w:val="0"/>
            <w:vAlign w:val="top"/>
          </w:tcPr>
          <w:p w14:paraId="6561ED21">
            <w:pPr>
              <w:pStyle w:val="12"/>
              <w:ind w:right="-250"/>
              <w:rPr>
                <w:rFonts w:ascii="Calibri" w:hAnsi="Calibri" w:cs="Calibri"/>
                <w:b/>
                <w:caps/>
                <w:sz w:val="24"/>
                <w:szCs w:val="24"/>
              </w:rPr>
            </w:pPr>
            <w:bookmarkStart w:id="0" w:name="_GoBack"/>
            <w:bookmarkEnd w:id="0"/>
            <w:r>
              <w:rPr>
                <w:color w:val="000000"/>
                <w:lang/>
              </w:rPr>
              <w:drawing>
                <wp:inline distT="0" distB="0" distL="114300" distR="114300">
                  <wp:extent cx="669290" cy="603250"/>
                  <wp:effectExtent l="0" t="0" r="16510" b="6350"/>
                  <wp:docPr id="2" name="image1.png" descr="Diagrama&#10;&#10;Descrição gerad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1.png" descr="Diagrama&#10;&#10;Descrição gerada automaticamente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9290" cy="6032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521" w:type="dxa"/>
            <w:noWrap w:val="0"/>
            <w:vAlign w:val="top"/>
          </w:tcPr>
          <w:p w14:paraId="2EB0494B">
            <w:pPr>
              <w:spacing w:line="276" w:lineRule="auto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  <w:caps/>
              </w:rPr>
              <w:t>estado de santa catarina</w:t>
            </w:r>
          </w:p>
          <w:p w14:paraId="782FE749">
            <w:pPr>
              <w:spacing w:line="276" w:lineRule="auto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  <w:caps/>
              </w:rPr>
              <w:t>secretaria de estado da saúde</w:t>
            </w:r>
          </w:p>
          <w:p w14:paraId="4591C26D">
            <w:pPr>
              <w:spacing w:line="276" w:lineRule="auto"/>
              <w:jc w:val="both"/>
              <w:rPr>
                <w:rFonts w:hint="default" w:ascii="Arial" w:hAnsi="Arial" w:cs="Arial"/>
                <w:bCs/>
                <w:caps/>
                <w:lang w:val="pt-BR"/>
              </w:rPr>
            </w:pPr>
            <w:r>
              <w:rPr>
                <w:rFonts w:ascii="Arial" w:hAnsi="Arial" w:cs="Arial"/>
                <w:bCs/>
                <w:caps/>
              </w:rPr>
              <w:t>Superintendência d</w:t>
            </w:r>
            <w:r>
              <w:rPr>
                <w:rFonts w:hint="default" w:ascii="Arial" w:hAnsi="Arial" w:cs="Arial"/>
                <w:bCs/>
                <w:caps/>
                <w:lang w:val="pt-BR"/>
              </w:rPr>
              <w:t>o</w:t>
            </w:r>
            <w:r>
              <w:rPr>
                <w:rFonts w:hint="default" w:ascii="Arial" w:hAnsi="Arial" w:cs="Arial"/>
                <w:bCs/>
                <w:caps/>
                <w:lang w:val="pt-BR"/>
              </w:rPr>
              <w:t>s hospitais públicos estaduais</w:t>
            </w:r>
          </w:p>
          <w:p w14:paraId="1958FCBC">
            <w:pPr>
              <w:spacing w:line="276" w:lineRule="auto"/>
              <w:jc w:val="both"/>
              <w:rPr>
                <w:rFonts w:hint="default" w:ascii="Arial" w:hAnsi="Arial" w:cs="Arial"/>
                <w:bCs/>
                <w:caps/>
                <w:lang w:val="pt-BR"/>
              </w:rPr>
            </w:pPr>
            <w:r>
              <w:rPr>
                <w:rFonts w:hint="default" w:ascii="Arial" w:hAnsi="Arial" w:cs="Arial"/>
                <w:bCs/>
                <w:highlight w:val="yellow"/>
                <w:lang w:val="pt-BR"/>
              </w:rPr>
              <w:t>I</w:t>
            </w:r>
            <w:r>
              <w:rPr>
                <w:rFonts w:hint="default" w:ascii="Arial" w:hAnsi="Arial" w:cs="Arial"/>
                <w:bCs/>
                <w:caps/>
                <w:highlight w:val="yellow"/>
                <w:lang w:val="pt-BR"/>
              </w:rPr>
              <w:t>nserir nome da unidade hospitalar</w:t>
            </w:r>
          </w:p>
        </w:tc>
      </w:tr>
    </w:tbl>
    <w:p w14:paraId="68DBEB09">
      <w:pPr>
        <w:pStyle w:val="2"/>
        <w:jc w:val="both"/>
        <w:rPr>
          <w:rFonts w:ascii="Calibri" w:hAnsi="Calibri" w:eastAsia="Cambria"/>
          <w:i/>
          <w:iCs/>
          <w:color w:val="FF0000"/>
          <w:sz w:val="22"/>
          <w:szCs w:val="22"/>
        </w:rPr>
      </w:pP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-76200</wp:posOffset>
                </wp:positionH>
                <wp:positionV relativeFrom="paragraph">
                  <wp:posOffset>8890</wp:posOffset>
                </wp:positionV>
                <wp:extent cx="6035675" cy="635"/>
                <wp:effectExtent l="0" t="0" r="0" b="0"/>
                <wp:wrapNone/>
                <wp:docPr id="1" name="Linh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35675" cy="635"/>
                        </a:xfrm>
                        <a:prstGeom prst="line">
                          <a:avLst/>
                        </a:prstGeom>
                        <a:ln w="9360" cap="sq" cmpd="sng">
                          <a:solidFill>
                            <a:srgbClr val="FF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Linha 2" o:spid="_x0000_s1026" o:spt="20" style="position:absolute;left:0pt;margin-left:-6pt;margin-top:0.7pt;height:0.05pt;width:475.25pt;z-index:251659264;mso-width-relative:page;mso-height-relative:page;" filled="f" stroked="t" coordsize="21600,21600" o:gfxdata="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">
                <v:fill on="f" focussize="0,0"/>
                <v:stroke weight="0.737007874015748pt" color="#FF0000" joinstyle="miter" endcap="square"/>
                <v:imagedata o:title=""/>
                <o:lock v:ext="edit" aspectratio="f"/>
              </v:line>
            </w:pict>
          </mc:Fallback>
        </mc:AlternateContent>
      </w:r>
    </w:p>
    <w:p w14:paraId="2E641185">
      <w:pPr>
        <w:jc w:val="center"/>
        <w:rPr>
          <w:rFonts w:ascii="Calibri" w:hAnsi="Calibri" w:eastAsia="Cambria"/>
          <w:b/>
          <w:iCs/>
          <w:sz w:val="28"/>
          <w:szCs w:val="28"/>
        </w:rPr>
      </w:pPr>
    </w:p>
    <w:p w14:paraId="7F68DFE5">
      <w:pPr>
        <w:jc w:val="center"/>
        <w:rPr>
          <w:rFonts w:ascii="Arial" w:hAnsi="Arial" w:eastAsia="Cambria" w:cs="Arial"/>
          <w:b/>
          <w:iCs/>
          <w:sz w:val="24"/>
          <w:szCs w:val="24"/>
        </w:rPr>
      </w:pPr>
      <w:r>
        <w:rPr>
          <w:rFonts w:ascii="Arial" w:hAnsi="Arial" w:eastAsia="Cambria" w:cs="Arial"/>
          <w:b/>
          <w:iCs/>
          <w:sz w:val="24"/>
          <w:szCs w:val="24"/>
        </w:rPr>
        <w:t>ESTUDO TÉCNICO PRELIMINAR – ETP</w:t>
      </w:r>
    </w:p>
    <w:p w14:paraId="27583CC4">
      <w:pPr>
        <w:jc w:val="center"/>
        <w:rPr>
          <w:rFonts w:ascii="Arial" w:hAnsi="Arial" w:cs="Arial"/>
          <w:b/>
          <w:color w:val="FF0000"/>
        </w:rPr>
      </w:pPr>
    </w:p>
    <w:p w14:paraId="68B2AC80">
      <w:pPr>
        <w:jc w:val="center"/>
        <w:rPr>
          <w:rFonts w:ascii="Arial" w:hAnsi="Arial" w:cs="Arial"/>
          <w:b/>
          <w:color w:val="FF0000"/>
        </w:rPr>
      </w:pPr>
    </w:p>
    <w:tbl>
      <w:tblPr>
        <w:tblStyle w:val="7"/>
        <w:tblW w:w="9570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shd w:val="clear" w:color="auto" w:fill="365F91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70"/>
      </w:tblGrid>
      <w:tr w14:paraId="6FC7FD5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jc w:val="center"/>
        </w:trPr>
        <w:tc>
          <w:tcPr>
            <w:tcW w:w="9570" w:type="dxa"/>
            <w:shd w:val="clear" w:color="auto" w:fill="000000"/>
            <w:noWrap w:val="0"/>
            <w:vAlign w:val="top"/>
          </w:tcPr>
          <w:p w14:paraId="5C88B0B7">
            <w:pPr>
              <w:rPr>
                <w:rFonts w:ascii="Arial" w:hAnsi="Arial" w:cs="Arial"/>
                <w:b/>
                <w:color w:val="FFFFFF"/>
              </w:rPr>
            </w:pPr>
            <w:r>
              <w:rPr>
                <w:rFonts w:ascii="Arial" w:hAnsi="Arial" w:cs="Arial"/>
                <w:b/>
                <w:color w:val="FFFFFF"/>
              </w:rPr>
              <w:t>I – INFORMAÇÕES GERAIS</w:t>
            </w:r>
          </w:p>
        </w:tc>
      </w:tr>
    </w:tbl>
    <w:p w14:paraId="314F00F9">
      <w:pPr>
        <w:ind w:left="142" w:right="333"/>
        <w:rPr>
          <w:rFonts w:ascii="Arial" w:hAnsi="Arial" w:cs="Arial"/>
        </w:rPr>
      </w:pPr>
    </w:p>
    <w:p w14:paraId="6277E5F0">
      <w:pPr>
        <w:ind w:left="142" w:right="333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 </w:t>
      </w:r>
      <w:r>
        <w:rPr>
          <w:rFonts w:hint="default" w:ascii="Arial" w:hAnsi="Arial" w:cs="Arial"/>
          <w:lang w:val="pt-BR"/>
        </w:rPr>
        <w:t>E</w:t>
      </w:r>
      <w:r>
        <w:rPr>
          <w:rFonts w:ascii="Arial" w:hAnsi="Arial" w:cs="Arial"/>
        </w:rPr>
        <w:t xml:space="preserve">studo </w:t>
      </w:r>
      <w:r>
        <w:rPr>
          <w:rFonts w:hint="default" w:ascii="Arial" w:hAnsi="Arial" w:cs="Arial"/>
          <w:lang w:val="pt-BR"/>
        </w:rPr>
        <w:t>T</w:t>
      </w:r>
      <w:r>
        <w:rPr>
          <w:rFonts w:ascii="Arial" w:hAnsi="Arial" w:cs="Arial"/>
        </w:rPr>
        <w:t xml:space="preserve">écnico </w:t>
      </w:r>
      <w:r>
        <w:rPr>
          <w:rFonts w:hint="default" w:ascii="Arial" w:hAnsi="Arial" w:cs="Arial"/>
          <w:lang w:val="pt-BR"/>
        </w:rPr>
        <w:t>P</w:t>
      </w:r>
      <w:r>
        <w:rPr>
          <w:rFonts w:ascii="Arial" w:hAnsi="Arial" w:cs="Arial"/>
        </w:rPr>
        <w:t xml:space="preserve">reliminar foi realizado de acordo com os elementos previstos no art. §1º do art. 18 da Lei 14133 de 1 de abril de 2021. </w:t>
      </w:r>
    </w:p>
    <w:p w14:paraId="3EC7227E">
      <w:pPr>
        <w:ind w:left="142" w:right="333"/>
        <w:rPr>
          <w:rFonts w:ascii="Arial" w:hAnsi="Arial" w:cs="Arial"/>
        </w:rPr>
      </w:pPr>
    </w:p>
    <w:p w14:paraId="0F0D98FF">
      <w:pPr>
        <w:tabs>
          <w:tab w:val="left" w:pos="567"/>
          <w:tab w:val="left" w:pos="1605"/>
        </w:tabs>
        <w:ind w:left="142" w:right="333"/>
        <w:rPr>
          <w:rFonts w:ascii="Arial" w:hAnsi="Arial" w:cs="Arial"/>
        </w:rPr>
      </w:pPr>
    </w:p>
    <w:p w14:paraId="2ED26027">
      <w:pPr>
        <w:tabs>
          <w:tab w:val="left" w:pos="567"/>
          <w:tab w:val="left" w:pos="1605"/>
        </w:tabs>
        <w:ind w:left="142" w:right="333"/>
        <w:rPr>
          <w:rFonts w:hint="default" w:ascii="Arial" w:hAnsi="Arial" w:cs="Arial"/>
          <w:b/>
          <w:color w:val="auto"/>
          <w:lang w:val="pt-BR"/>
        </w:rPr>
      </w:pPr>
      <w:r>
        <w:rPr>
          <w:rFonts w:ascii="Arial" w:hAnsi="Arial" w:cs="Arial"/>
          <w:b/>
          <w:color w:val="auto"/>
          <w:highlight w:val="yellow"/>
        </w:rPr>
        <w:t>PSES</w:t>
      </w:r>
      <w:r>
        <w:rPr>
          <w:rFonts w:ascii="Arial" w:hAnsi="Arial" w:cs="Arial"/>
          <w:color w:val="auto"/>
          <w:highlight w:val="yellow"/>
        </w:rPr>
        <w:t xml:space="preserve"> </w:t>
      </w:r>
      <w:r>
        <w:rPr>
          <w:rFonts w:ascii="Arial" w:hAnsi="Arial" w:cs="Arial"/>
          <w:b/>
          <w:color w:val="auto"/>
          <w:highlight w:val="yellow"/>
        </w:rPr>
        <w:t>XXX/202</w:t>
      </w:r>
      <w:r>
        <w:rPr>
          <w:rFonts w:hint="default" w:ascii="Arial" w:hAnsi="Arial" w:cs="Arial"/>
          <w:b/>
          <w:color w:val="auto"/>
          <w:highlight w:val="yellow"/>
          <w:lang w:val="pt-BR"/>
        </w:rPr>
        <w:t>4</w:t>
      </w:r>
    </w:p>
    <w:p w14:paraId="47A42897">
      <w:pPr>
        <w:tabs>
          <w:tab w:val="left" w:pos="567"/>
          <w:tab w:val="left" w:pos="1605"/>
        </w:tabs>
        <w:ind w:left="142" w:right="333"/>
        <w:rPr>
          <w:rFonts w:ascii="Arial" w:hAnsi="Arial" w:cs="Arial"/>
          <w:b/>
        </w:rPr>
      </w:pPr>
      <w:r>
        <w:rPr>
          <w:rFonts w:ascii="Arial" w:hAnsi="Arial" w:cs="Arial"/>
          <w:b/>
        </w:rPr>
        <w:t>Assunto: Aquisição de bens de consumo</w:t>
      </w:r>
    </w:p>
    <w:p w14:paraId="2563ED9E">
      <w:pPr>
        <w:tabs>
          <w:tab w:val="left" w:pos="567"/>
          <w:tab w:val="left" w:pos="1605"/>
        </w:tabs>
        <w:ind w:left="142" w:right="333"/>
        <w:rPr>
          <w:rFonts w:ascii="Arial" w:hAnsi="Arial" w:cs="Arial"/>
          <w:b/>
        </w:rPr>
      </w:pPr>
      <w:r>
        <w:rPr>
          <w:rFonts w:ascii="Arial" w:hAnsi="Arial" w:cs="Arial"/>
          <w:b/>
        </w:rPr>
        <w:t>Classe: Aquisições e contratações de materiais</w:t>
      </w:r>
    </w:p>
    <w:p w14:paraId="186F8BDD">
      <w:pPr>
        <w:tabs>
          <w:tab w:val="left" w:pos="567"/>
          <w:tab w:val="left" w:pos="1605"/>
        </w:tabs>
        <w:ind w:right="333"/>
        <w:rPr>
          <w:rFonts w:ascii="Arial" w:hAnsi="Arial" w:cs="Arial"/>
          <w:b/>
        </w:rPr>
      </w:pPr>
    </w:p>
    <w:tbl>
      <w:tblPr>
        <w:tblStyle w:val="7"/>
        <w:tblW w:w="9570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70"/>
      </w:tblGrid>
      <w:tr w14:paraId="282C575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570" w:type="dxa"/>
            <w:tcBorders>
              <w:top w:val="single" w:color="000000" w:sz="4" w:space="0"/>
            </w:tcBorders>
            <w:shd w:val="clear" w:color="auto" w:fill="000000"/>
            <w:noWrap w:val="0"/>
            <w:vAlign w:val="top"/>
          </w:tcPr>
          <w:p w14:paraId="3E5916D2">
            <w:pPr>
              <w:numPr>
                <w:ilvl w:val="0"/>
                <w:numId w:val="2"/>
              </w:numPr>
              <w:ind w:left="425" w:leftChars="0" w:hanging="425" w:firstLineChars="0"/>
              <w:rPr>
                <w:rFonts w:hint="default" w:ascii="Arial" w:hAnsi="Arial" w:cs="Arial"/>
                <w:b/>
                <w:color w:val="FFFFFF"/>
                <w:sz w:val="20"/>
                <w:szCs w:val="20"/>
              </w:rPr>
            </w:pPr>
            <w:r>
              <w:rPr>
                <w:rFonts w:hint="default" w:ascii="Arial" w:hAnsi="Arial" w:cs="Arial"/>
                <w:b/>
                <w:color w:val="FFFFFF"/>
                <w:sz w:val="20"/>
                <w:szCs w:val="20"/>
              </w:rPr>
              <w:t>Equipe de Planejamento</w:t>
            </w:r>
          </w:p>
        </w:tc>
      </w:tr>
      <w:tr w14:paraId="3E2A996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64" w:hRule="atLeast"/>
          <w:jc w:val="center"/>
        </w:trPr>
        <w:tc>
          <w:tcPr>
            <w:tcW w:w="9570" w:type="dxa"/>
            <w:tcBorders>
              <w:top w:val="single" w:color="000000" w:sz="4" w:space="0"/>
            </w:tcBorders>
            <w:noWrap w:val="0"/>
            <w:vAlign w:val="top"/>
          </w:tcPr>
          <w:p w14:paraId="309DC2BD">
            <w:pPr>
              <w:rPr>
                <w:rFonts w:hint="default" w:ascii="Arial" w:hAnsi="Arial" w:cs="Arial"/>
                <w:color w:val="548DD4"/>
                <w:sz w:val="20"/>
                <w:szCs w:val="20"/>
              </w:rPr>
            </w:pPr>
          </w:p>
          <w:tbl>
            <w:tblPr>
              <w:tblStyle w:val="7"/>
              <w:tblW w:w="9500" w:type="dxa"/>
              <w:tblInd w:w="-80" w:type="dxa"/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2632"/>
              <w:gridCol w:w="2806"/>
              <w:gridCol w:w="1400"/>
              <w:gridCol w:w="2662"/>
            </w:tblGrid>
            <w:tr w14:paraId="390083E0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08" w:hRule="atLeast"/>
              </w:trPr>
              <w:tc>
                <w:tcPr>
                  <w:tcW w:w="2632" w:type="dxa"/>
                  <w:noWrap w:val="0"/>
                  <w:vAlign w:val="center"/>
                </w:tcPr>
                <w:p w14:paraId="0E9F073E">
                  <w:pPr>
                    <w:pStyle w:val="36"/>
                    <w:tabs>
                      <w:tab w:val="left" w:pos="1517"/>
                      <w:tab w:val="left" w:pos="1518"/>
                    </w:tabs>
                    <w:ind w:left="0"/>
                    <w:jc w:val="center"/>
                    <w:rPr>
                      <w:rFonts w:hint="default"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hint="default" w:ascii="Arial" w:hAnsi="Arial" w:cs="Arial"/>
                      <w:b/>
                      <w:bCs/>
                      <w:sz w:val="18"/>
                      <w:szCs w:val="18"/>
                    </w:rPr>
                    <w:t>Nome</w:t>
                  </w:r>
                </w:p>
              </w:tc>
              <w:tc>
                <w:tcPr>
                  <w:tcW w:w="2806" w:type="dxa"/>
                  <w:noWrap w:val="0"/>
                  <w:vAlign w:val="center"/>
                </w:tcPr>
                <w:p w14:paraId="792BBF1B">
                  <w:pPr>
                    <w:pStyle w:val="36"/>
                    <w:tabs>
                      <w:tab w:val="left" w:pos="1517"/>
                      <w:tab w:val="left" w:pos="1518"/>
                    </w:tabs>
                    <w:ind w:left="0"/>
                    <w:jc w:val="center"/>
                    <w:rPr>
                      <w:rFonts w:hint="default"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hint="default" w:ascii="Arial" w:hAnsi="Arial" w:cs="Arial"/>
                      <w:b/>
                      <w:bCs/>
                      <w:sz w:val="18"/>
                      <w:szCs w:val="18"/>
                    </w:rPr>
                    <w:t>Cargo/função</w:t>
                  </w:r>
                </w:p>
              </w:tc>
              <w:tc>
                <w:tcPr>
                  <w:tcW w:w="1400" w:type="dxa"/>
                  <w:noWrap w:val="0"/>
                  <w:vAlign w:val="center"/>
                </w:tcPr>
                <w:p w14:paraId="688AE6C2">
                  <w:pPr>
                    <w:pStyle w:val="36"/>
                    <w:tabs>
                      <w:tab w:val="left" w:pos="1517"/>
                      <w:tab w:val="left" w:pos="1518"/>
                    </w:tabs>
                    <w:ind w:left="0"/>
                    <w:jc w:val="center"/>
                    <w:rPr>
                      <w:rFonts w:hint="default"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hint="default" w:ascii="Arial" w:hAnsi="Arial" w:cs="Arial"/>
                      <w:b/>
                      <w:bCs/>
                      <w:sz w:val="18"/>
                      <w:szCs w:val="18"/>
                    </w:rPr>
                    <w:t>Matrícula</w:t>
                  </w:r>
                </w:p>
              </w:tc>
              <w:tc>
                <w:tcPr>
                  <w:tcW w:w="2662" w:type="dxa"/>
                  <w:noWrap w:val="0"/>
                  <w:vAlign w:val="center"/>
                </w:tcPr>
                <w:p w14:paraId="473184C9">
                  <w:pPr>
                    <w:pStyle w:val="36"/>
                    <w:tabs>
                      <w:tab w:val="left" w:pos="1517"/>
                      <w:tab w:val="left" w:pos="1518"/>
                    </w:tabs>
                    <w:ind w:left="0"/>
                    <w:jc w:val="center"/>
                    <w:rPr>
                      <w:rFonts w:hint="default"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hint="default" w:ascii="Arial" w:hAnsi="Arial" w:cs="Arial"/>
                      <w:b/>
                      <w:bCs/>
                      <w:sz w:val="18"/>
                      <w:szCs w:val="18"/>
                    </w:rPr>
                    <w:t>E-mail</w:t>
                  </w:r>
                </w:p>
              </w:tc>
            </w:tr>
            <w:tr w14:paraId="2751A4E0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2632" w:type="dxa"/>
                  <w:noWrap w:val="0"/>
                  <w:vAlign w:val="top"/>
                </w:tcPr>
                <w:p w14:paraId="38BB4DBF">
                  <w:pPr>
                    <w:pStyle w:val="36"/>
                    <w:tabs>
                      <w:tab w:val="left" w:pos="1517"/>
                      <w:tab w:val="left" w:pos="1518"/>
                    </w:tabs>
                    <w:ind w:left="0"/>
                    <w:jc w:val="center"/>
                    <w:rPr>
                      <w:rFonts w:hint="default" w:ascii="Arial" w:hAnsi="Arial" w:cs="Arial"/>
                      <w:sz w:val="18"/>
                      <w:szCs w:val="18"/>
                      <w:highlight w:val="yellow"/>
                      <w:lang w:val="pt-BR"/>
                    </w:rPr>
                  </w:pPr>
                  <w:r>
                    <w:rPr>
                      <w:rFonts w:hint="default" w:ascii="Arial" w:hAnsi="Arial" w:cs="Arial"/>
                      <w:sz w:val="18"/>
                      <w:szCs w:val="18"/>
                      <w:highlight w:val="yellow"/>
                      <w:lang w:val="pt-BR"/>
                    </w:rPr>
                    <w:t>Preencher com os dados do Diretor da Unidade e Servidores envolvidos</w:t>
                  </w:r>
                </w:p>
                <w:p w14:paraId="628EF5F1">
                  <w:pPr>
                    <w:pStyle w:val="36"/>
                    <w:tabs>
                      <w:tab w:val="left" w:pos="1517"/>
                      <w:tab w:val="left" w:pos="1518"/>
                    </w:tabs>
                    <w:ind w:left="0"/>
                    <w:jc w:val="center"/>
                    <w:rPr>
                      <w:rFonts w:hint="default" w:ascii="Arial" w:hAnsi="Arial" w:cs="Arial"/>
                      <w:sz w:val="18"/>
                      <w:szCs w:val="18"/>
                      <w:lang w:val="pt-BR"/>
                    </w:rPr>
                  </w:pPr>
                  <w:r>
                    <w:rPr>
                      <w:rFonts w:hint="default" w:ascii="Arial" w:hAnsi="Arial" w:cs="Arial"/>
                      <w:sz w:val="18"/>
                      <w:szCs w:val="18"/>
                      <w:highlight w:val="yellow"/>
                      <w:lang w:val="pt-BR"/>
                    </w:rPr>
                    <w:t>(Obs: Todos devem assinar o documento no SGPE)</w:t>
                  </w:r>
                </w:p>
              </w:tc>
              <w:tc>
                <w:tcPr>
                  <w:tcW w:w="2806" w:type="dxa"/>
                  <w:noWrap w:val="0"/>
                  <w:vAlign w:val="top"/>
                </w:tcPr>
                <w:p w14:paraId="1C1EB278">
                  <w:pPr>
                    <w:pStyle w:val="36"/>
                    <w:tabs>
                      <w:tab w:val="left" w:pos="1517"/>
                      <w:tab w:val="left" w:pos="1518"/>
                    </w:tabs>
                    <w:ind w:left="0"/>
                    <w:jc w:val="center"/>
                    <w:rPr>
                      <w:rFonts w:hint="default" w:ascii="Arial" w:hAnsi="Arial" w:cs="Arial"/>
                      <w:sz w:val="18"/>
                      <w:szCs w:val="18"/>
                      <w:lang w:val="pt-BR"/>
                    </w:rPr>
                  </w:pPr>
                </w:p>
              </w:tc>
              <w:tc>
                <w:tcPr>
                  <w:tcW w:w="1400" w:type="dxa"/>
                  <w:noWrap w:val="0"/>
                  <w:vAlign w:val="top"/>
                </w:tcPr>
                <w:p w14:paraId="6F334268">
                  <w:pPr>
                    <w:pStyle w:val="36"/>
                    <w:tabs>
                      <w:tab w:val="left" w:pos="1517"/>
                      <w:tab w:val="left" w:pos="1518"/>
                    </w:tabs>
                    <w:ind w:left="0"/>
                    <w:jc w:val="center"/>
                    <w:rPr>
                      <w:rFonts w:hint="default" w:ascii="Arial" w:hAnsi="Arial" w:cs="Arial"/>
                      <w:sz w:val="18"/>
                      <w:szCs w:val="18"/>
                      <w:lang w:val="pt-BR"/>
                    </w:rPr>
                  </w:pPr>
                </w:p>
              </w:tc>
              <w:tc>
                <w:tcPr>
                  <w:tcW w:w="2662" w:type="dxa"/>
                  <w:noWrap w:val="0"/>
                  <w:vAlign w:val="top"/>
                </w:tcPr>
                <w:p w14:paraId="68685A48">
                  <w:pPr>
                    <w:pStyle w:val="36"/>
                    <w:tabs>
                      <w:tab w:val="left" w:pos="1517"/>
                      <w:tab w:val="left" w:pos="1518"/>
                    </w:tabs>
                    <w:ind w:left="0"/>
                    <w:jc w:val="center"/>
                    <w:rPr>
                      <w:rFonts w:hint="default" w:ascii="Arial" w:hAnsi="Arial" w:cs="Arial"/>
                      <w:sz w:val="18"/>
                      <w:szCs w:val="18"/>
                    </w:rPr>
                  </w:pPr>
                </w:p>
              </w:tc>
            </w:tr>
            <w:tr w14:paraId="43DA7FEB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2632" w:type="dxa"/>
                  <w:noWrap w:val="0"/>
                  <w:vAlign w:val="top"/>
                </w:tcPr>
                <w:p w14:paraId="69B4C0C6">
                  <w:pPr>
                    <w:pStyle w:val="36"/>
                    <w:tabs>
                      <w:tab w:val="left" w:pos="1517"/>
                      <w:tab w:val="left" w:pos="1518"/>
                    </w:tabs>
                    <w:ind w:left="0"/>
                    <w:jc w:val="center"/>
                    <w:rPr>
                      <w:rFonts w:hint="default" w:ascii="Arial" w:hAnsi="Arial" w:cs="Arial"/>
                      <w:sz w:val="18"/>
                      <w:szCs w:val="18"/>
                      <w:lang w:val="pt-BR"/>
                    </w:rPr>
                  </w:pPr>
                </w:p>
              </w:tc>
              <w:tc>
                <w:tcPr>
                  <w:tcW w:w="2806" w:type="dxa"/>
                  <w:noWrap w:val="0"/>
                  <w:vAlign w:val="top"/>
                </w:tcPr>
                <w:p w14:paraId="5D7FF130">
                  <w:pPr>
                    <w:pStyle w:val="36"/>
                    <w:tabs>
                      <w:tab w:val="left" w:pos="1517"/>
                      <w:tab w:val="left" w:pos="1518"/>
                    </w:tabs>
                    <w:ind w:left="0"/>
                    <w:jc w:val="center"/>
                    <w:rPr>
                      <w:rFonts w:hint="default" w:ascii="Arial" w:hAnsi="Arial" w:cs="Arial"/>
                      <w:sz w:val="18"/>
                      <w:szCs w:val="18"/>
                      <w:lang w:val="pt-BR"/>
                    </w:rPr>
                  </w:pPr>
                </w:p>
              </w:tc>
              <w:tc>
                <w:tcPr>
                  <w:tcW w:w="1400" w:type="dxa"/>
                  <w:noWrap w:val="0"/>
                  <w:vAlign w:val="top"/>
                </w:tcPr>
                <w:p w14:paraId="07E9AB51">
                  <w:pPr>
                    <w:pStyle w:val="36"/>
                    <w:tabs>
                      <w:tab w:val="left" w:pos="1517"/>
                      <w:tab w:val="left" w:pos="1518"/>
                    </w:tabs>
                    <w:ind w:left="0"/>
                    <w:jc w:val="center"/>
                    <w:rPr>
                      <w:rFonts w:hint="default" w:ascii="Arial" w:hAnsi="Arial" w:cs="Arial"/>
                      <w:color w:val="FF0000"/>
                      <w:sz w:val="18"/>
                      <w:szCs w:val="18"/>
                      <w:lang w:val="pt-BR"/>
                    </w:rPr>
                  </w:pPr>
                </w:p>
              </w:tc>
              <w:tc>
                <w:tcPr>
                  <w:tcW w:w="2662" w:type="dxa"/>
                  <w:noWrap w:val="0"/>
                  <w:vAlign w:val="top"/>
                </w:tcPr>
                <w:p w14:paraId="7A4DCA8C">
                  <w:pPr>
                    <w:pStyle w:val="36"/>
                    <w:tabs>
                      <w:tab w:val="left" w:pos="1517"/>
                      <w:tab w:val="left" w:pos="1518"/>
                    </w:tabs>
                    <w:ind w:left="0"/>
                    <w:jc w:val="both"/>
                    <w:rPr>
                      <w:rFonts w:hint="default" w:ascii="Arial" w:hAnsi="Arial" w:cs="Arial"/>
                      <w:color w:val="auto"/>
                      <w:sz w:val="18"/>
                      <w:szCs w:val="18"/>
                      <w:lang w:val="pt-BR"/>
                    </w:rPr>
                  </w:pPr>
                </w:p>
              </w:tc>
            </w:tr>
            <w:tr w14:paraId="05AEFF57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2632" w:type="dxa"/>
                  <w:noWrap w:val="0"/>
                  <w:vAlign w:val="top"/>
                </w:tcPr>
                <w:p w14:paraId="6AA9FE9C">
                  <w:pPr>
                    <w:pStyle w:val="36"/>
                    <w:tabs>
                      <w:tab w:val="left" w:pos="1517"/>
                      <w:tab w:val="left" w:pos="1518"/>
                    </w:tabs>
                    <w:ind w:left="0"/>
                    <w:jc w:val="center"/>
                    <w:rPr>
                      <w:rFonts w:hint="default" w:ascii="Arial" w:hAnsi="Arial" w:cs="Arial"/>
                      <w:sz w:val="18"/>
                      <w:szCs w:val="18"/>
                      <w:lang w:val="pt-BR"/>
                    </w:rPr>
                  </w:pPr>
                </w:p>
              </w:tc>
              <w:tc>
                <w:tcPr>
                  <w:tcW w:w="2806" w:type="dxa"/>
                  <w:noWrap w:val="0"/>
                  <w:vAlign w:val="top"/>
                </w:tcPr>
                <w:p w14:paraId="0A8CC5A2">
                  <w:pPr>
                    <w:pStyle w:val="36"/>
                    <w:tabs>
                      <w:tab w:val="left" w:pos="1517"/>
                      <w:tab w:val="left" w:pos="1518"/>
                    </w:tabs>
                    <w:ind w:left="0"/>
                    <w:jc w:val="center"/>
                    <w:rPr>
                      <w:rFonts w:hint="default" w:ascii="Arial" w:hAnsi="Arial" w:cs="Arial"/>
                      <w:sz w:val="18"/>
                      <w:szCs w:val="18"/>
                      <w:lang w:val="pt-BR"/>
                    </w:rPr>
                  </w:pPr>
                </w:p>
              </w:tc>
              <w:tc>
                <w:tcPr>
                  <w:tcW w:w="1400" w:type="dxa"/>
                  <w:noWrap w:val="0"/>
                  <w:vAlign w:val="top"/>
                </w:tcPr>
                <w:p w14:paraId="0BB8C383">
                  <w:pPr>
                    <w:pStyle w:val="36"/>
                    <w:tabs>
                      <w:tab w:val="left" w:pos="1517"/>
                      <w:tab w:val="left" w:pos="1518"/>
                    </w:tabs>
                    <w:ind w:left="0"/>
                    <w:jc w:val="center"/>
                    <w:rPr>
                      <w:rFonts w:hint="default" w:ascii="Arial" w:hAnsi="Arial" w:cs="Arial"/>
                      <w:color w:val="000000"/>
                      <w:sz w:val="18"/>
                      <w:szCs w:val="18"/>
                      <w:lang w:val="pt-BR"/>
                    </w:rPr>
                  </w:pPr>
                </w:p>
              </w:tc>
              <w:tc>
                <w:tcPr>
                  <w:tcW w:w="2662" w:type="dxa"/>
                  <w:noWrap w:val="0"/>
                  <w:vAlign w:val="top"/>
                </w:tcPr>
                <w:p w14:paraId="0D1D6FD5">
                  <w:pPr>
                    <w:pStyle w:val="36"/>
                    <w:tabs>
                      <w:tab w:val="left" w:pos="1517"/>
                      <w:tab w:val="left" w:pos="1518"/>
                    </w:tabs>
                    <w:ind w:left="0"/>
                    <w:jc w:val="both"/>
                    <w:rPr>
                      <w:rFonts w:hint="default" w:ascii="Arial" w:hAnsi="Arial" w:cs="Arial"/>
                      <w:color w:val="auto"/>
                      <w:sz w:val="18"/>
                      <w:szCs w:val="18"/>
                      <w:lang w:val="pt-BR"/>
                    </w:rPr>
                  </w:pPr>
                </w:p>
              </w:tc>
            </w:tr>
          </w:tbl>
          <w:p w14:paraId="769BDE62">
            <w:pPr>
              <w:rPr>
                <w:rFonts w:hint="default" w:ascii="Arial" w:hAnsi="Arial" w:cs="Arial"/>
                <w:color w:val="FF0000"/>
                <w:sz w:val="20"/>
                <w:szCs w:val="20"/>
              </w:rPr>
            </w:pPr>
          </w:p>
        </w:tc>
      </w:tr>
    </w:tbl>
    <w:p w14:paraId="69995FC4">
      <w:pPr>
        <w:spacing w:line="360" w:lineRule="auto"/>
        <w:ind w:right="333"/>
        <w:rPr>
          <w:rFonts w:ascii="Arial" w:hAnsi="Arial" w:eastAsia="Cambria" w:cs="Arial"/>
          <w:b/>
          <w:iCs/>
        </w:rPr>
      </w:pPr>
    </w:p>
    <w:tbl>
      <w:tblPr>
        <w:tblStyle w:val="7"/>
        <w:tblW w:w="9570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shd w:val="clear" w:color="auto" w:fill="365F91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70"/>
      </w:tblGrid>
      <w:tr w14:paraId="4F3B989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365F91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jc w:val="center"/>
        </w:trPr>
        <w:tc>
          <w:tcPr>
            <w:tcW w:w="9570" w:type="dxa"/>
            <w:shd w:val="clear" w:color="auto" w:fill="000000"/>
            <w:noWrap w:val="0"/>
            <w:vAlign w:val="top"/>
          </w:tcPr>
          <w:p w14:paraId="16A55B8B">
            <w:pPr>
              <w:rPr>
                <w:rFonts w:ascii="Arial" w:hAnsi="Arial" w:cs="Arial"/>
                <w:b/>
                <w:color w:val="FFFFFF"/>
              </w:rPr>
            </w:pPr>
            <w:r>
              <w:rPr>
                <w:rFonts w:ascii="Arial" w:hAnsi="Arial" w:cs="Arial"/>
                <w:b/>
                <w:color w:val="FFFFFF"/>
              </w:rPr>
              <w:t>II – DIAGNÓSTICO SITUAÇÃO ATUAL</w:t>
            </w:r>
          </w:p>
        </w:tc>
      </w:tr>
    </w:tbl>
    <w:p w14:paraId="3981EAB5">
      <w:pPr>
        <w:spacing w:line="360" w:lineRule="auto"/>
        <w:rPr>
          <w:rFonts w:ascii="Arial" w:hAnsi="Arial" w:eastAsia="Cambria" w:cs="Arial"/>
          <w:b/>
          <w:iCs/>
        </w:rPr>
      </w:pPr>
    </w:p>
    <w:tbl>
      <w:tblPr>
        <w:tblStyle w:val="7"/>
        <w:tblW w:w="9570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70"/>
      </w:tblGrid>
      <w:tr w14:paraId="242A091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jc w:val="center"/>
        </w:trPr>
        <w:tc>
          <w:tcPr>
            <w:tcW w:w="9570" w:type="dxa"/>
            <w:tcBorders>
              <w:top w:val="single" w:color="000000" w:sz="4" w:space="0"/>
            </w:tcBorders>
            <w:shd w:val="clear" w:color="auto" w:fill="000000"/>
            <w:noWrap w:val="0"/>
            <w:vAlign w:val="top"/>
          </w:tcPr>
          <w:p w14:paraId="359FE4FC">
            <w:pPr>
              <w:pStyle w:val="36"/>
              <w:numPr>
                <w:ilvl w:val="0"/>
                <w:numId w:val="2"/>
              </w:numPr>
              <w:ind w:left="425" w:leftChars="0" w:right="225" w:rightChars="0" w:hanging="425" w:firstLineChars="0"/>
              <w:jc w:val="both"/>
              <w:rPr>
                <w:rFonts w:ascii="Arial" w:hAnsi="Arial" w:cs="Arial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FFFFFF"/>
                <w:sz w:val="20"/>
                <w:szCs w:val="20"/>
              </w:rPr>
              <w:t xml:space="preserve">Descrição do problema a ser resolvido ou da necessidade apresentada </w:t>
            </w:r>
            <w:r>
              <w:rPr>
                <w:rFonts w:ascii="Arial" w:hAnsi="Arial" w:cs="Arial"/>
                <w:b/>
                <w:color w:val="FFFFFF"/>
                <w:sz w:val="20"/>
                <w:szCs w:val="20"/>
              </w:rPr>
              <w:t>(art. 18, § 1º, I, da Lei Federal nº 14.133, de 2021).</w:t>
            </w:r>
          </w:p>
        </w:tc>
      </w:tr>
      <w:tr w14:paraId="4C3BABB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jc w:val="center"/>
        </w:trPr>
        <w:tc>
          <w:tcPr>
            <w:tcW w:w="9570" w:type="dxa"/>
            <w:tcBorders>
              <w:top w:val="single" w:color="000000" w:sz="4" w:space="0"/>
            </w:tcBorders>
            <w:noWrap w:val="0"/>
            <w:vAlign w:val="top"/>
          </w:tcPr>
          <w:p w14:paraId="1FAE0026">
            <w:pPr>
              <w:spacing w:line="276" w:lineRule="auto"/>
              <w:ind w:left="117" w:right="165"/>
              <w:jc w:val="both"/>
              <w:rPr>
                <w:rFonts w:ascii="Arial" w:hAnsi="Arial" w:cs="Arial"/>
                <w:color w:val="548DD4"/>
              </w:rPr>
            </w:pPr>
          </w:p>
          <w:p w14:paraId="094B61FE">
            <w:pPr>
              <w:spacing w:line="276" w:lineRule="auto"/>
              <w:ind w:left="117" w:right="165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 Secretaria do Estado da Saúde, dentre outras atribuições, é responsável pela administração de treze unidades hospitalares, o que inclui o suprimento de bens de consumo e permanentes. A aquisição de bens de consumo como OPMEs decorre da necessidade dos mesmos para o funcionamento das unidades hospitalares, permitindo o atendimento das unidades, contribuindo para o tratamento, prevenção e promoção da saúde da população catarinense. </w:t>
            </w:r>
          </w:p>
          <w:p w14:paraId="46347A47">
            <w:pPr>
              <w:spacing w:line="276" w:lineRule="auto"/>
              <w:ind w:left="117" w:right="165"/>
              <w:jc w:val="both"/>
              <w:rPr>
                <w:rFonts w:ascii="Arial" w:hAnsi="Arial" w:cs="Arial"/>
              </w:rPr>
            </w:pPr>
          </w:p>
          <w:p w14:paraId="4EB879A4">
            <w:pPr>
              <w:spacing w:line="276" w:lineRule="auto"/>
              <w:ind w:left="117" w:right="165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 ausência da aquisição dos OPMEs poderá ocasionar a impossibilidade do atendimento de serviços de saúde prestados pelos estabelecimentos, resultando em consequências danosas à população, incluindo risco de perda de vida. </w:t>
            </w:r>
          </w:p>
          <w:p w14:paraId="4C3C5156">
            <w:pPr>
              <w:spacing w:line="276" w:lineRule="auto"/>
              <w:ind w:left="117" w:right="165"/>
              <w:jc w:val="both"/>
              <w:rPr>
                <w:rFonts w:ascii="Arial" w:hAnsi="Arial" w:cs="Arial"/>
              </w:rPr>
            </w:pPr>
          </w:p>
          <w:p w14:paraId="1773DAE3">
            <w:pPr>
              <w:spacing w:line="276" w:lineRule="auto"/>
              <w:ind w:left="117" w:right="165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Os quantitativos previstos foram planejados pelo responsável pelo OPME de cada unidade com a supervisão de suas respectivas Diretorias, e com o auxílio da Diretoria de Planejamento e Gestão em Compras (DPGC). A análise ocorre baseada em um relatório contendo o consumo dos últimos 36 meses de cada item. Como a aquisição ocorre para 12 meses, é realizado o monitoramento contínuo das atas vigentes, com análise de saldo e consumo das unidades para cálculo e previsão de atualização das aquisições, conforme torna-se necessário.  </w:t>
            </w:r>
          </w:p>
          <w:p w14:paraId="59584C99">
            <w:pPr>
              <w:spacing w:line="276" w:lineRule="auto"/>
              <w:ind w:left="117" w:right="165"/>
              <w:jc w:val="both"/>
              <w:rPr>
                <w:rFonts w:hint="default" w:ascii="Arial" w:hAnsi="Arial" w:eastAsia="SimSun" w:cs="Arial"/>
                <w:b w:val="0"/>
                <w:bCs w:val="0"/>
                <w:color w:val="FF0000"/>
                <w:kern w:val="2"/>
                <w:sz w:val="20"/>
                <w:szCs w:val="20"/>
                <w:highlight w:val="yellow"/>
                <w:shd w:val="clear" w:color="auto" w:fill="FFFFFF"/>
                <w:lang w:val="pt-BR" w:eastAsia="zh-CN" w:bidi="hi-IN"/>
              </w:rPr>
            </w:pPr>
          </w:p>
          <w:p w14:paraId="4BC7D45D">
            <w:pPr>
              <w:spacing w:line="276" w:lineRule="auto"/>
              <w:ind w:left="117" w:right="165"/>
              <w:jc w:val="both"/>
              <w:rPr>
                <w:rFonts w:hint="default" w:ascii="Arial" w:hAnsi="Arial" w:eastAsia="SimSun" w:cs="Arial"/>
                <w:b w:val="0"/>
                <w:bCs w:val="0"/>
                <w:color w:val="FF0000"/>
                <w:kern w:val="2"/>
                <w:sz w:val="20"/>
                <w:szCs w:val="20"/>
                <w:highlight w:val="yellow"/>
                <w:shd w:val="clear" w:color="auto" w:fill="FFFFFF"/>
                <w:lang w:val="pt-BR" w:eastAsia="zh-CN" w:bidi="hi-IN"/>
              </w:rPr>
            </w:pPr>
            <w:r>
              <w:rPr>
                <w:rFonts w:hint="default" w:ascii="Arial" w:hAnsi="Arial" w:eastAsia="SimSun" w:cs="Arial"/>
                <w:b w:val="0"/>
                <w:bCs w:val="0"/>
                <w:color w:val="FF0000"/>
                <w:kern w:val="2"/>
                <w:sz w:val="20"/>
                <w:szCs w:val="20"/>
                <w:highlight w:val="yellow"/>
                <w:shd w:val="clear" w:color="auto" w:fill="FFFFFF"/>
                <w:lang w:val="pt-BR" w:eastAsia="zh-CN" w:bidi="hi-IN"/>
              </w:rPr>
              <w:t>OBRIGATÓRIO:</w:t>
            </w:r>
          </w:p>
          <w:p w14:paraId="5A1E1148">
            <w:pPr>
              <w:spacing w:line="276" w:lineRule="auto"/>
              <w:ind w:left="117" w:right="165"/>
              <w:jc w:val="both"/>
              <w:rPr>
                <w:rFonts w:hint="default" w:ascii="Arial" w:hAnsi="Arial" w:eastAsia="SimSun" w:cs="Arial"/>
                <w:b w:val="0"/>
                <w:bCs w:val="0"/>
                <w:color w:val="FF0000"/>
                <w:kern w:val="2"/>
                <w:sz w:val="20"/>
                <w:szCs w:val="20"/>
                <w:highlight w:val="yellow"/>
                <w:shd w:val="clear" w:color="auto" w:fill="FFFFFF"/>
                <w:lang w:val="pt-BR" w:eastAsia="zh-CN" w:bidi="hi-IN"/>
              </w:rPr>
            </w:pPr>
            <w:r>
              <w:rPr>
                <w:rFonts w:hint="default" w:ascii="Arial" w:hAnsi="Arial" w:eastAsia="SimSun" w:cs="Arial"/>
                <w:b w:val="0"/>
                <w:bCs w:val="0"/>
                <w:color w:val="FF0000"/>
                <w:kern w:val="2"/>
                <w:sz w:val="20"/>
                <w:szCs w:val="20"/>
                <w:highlight w:val="yellow"/>
                <w:shd w:val="clear" w:color="auto" w:fill="FFFFFF"/>
                <w:lang w:val="pt-BR" w:eastAsia="zh-CN" w:bidi="hi-IN"/>
              </w:rPr>
              <w:t>1 - Informar procedimentos licitatórios desertos/frustrados ou em andamento (nº do pregão), se houver;</w:t>
            </w:r>
          </w:p>
          <w:p w14:paraId="3D54F18A">
            <w:pPr>
              <w:spacing w:line="276" w:lineRule="auto"/>
              <w:ind w:left="117" w:right="165"/>
              <w:jc w:val="both"/>
              <w:rPr>
                <w:rFonts w:hint="default" w:ascii="Arial" w:hAnsi="Arial" w:cs="Arial"/>
                <w:b w:val="0"/>
                <w:bCs w:val="0"/>
                <w:color w:val="FF0000"/>
                <w:sz w:val="20"/>
                <w:szCs w:val="20"/>
                <w:highlight w:val="yellow"/>
                <w:shd w:val="clear" w:color="auto" w:fill="FFFFFF"/>
                <w:lang w:val="pt-BR"/>
              </w:rPr>
            </w:pPr>
            <w:r>
              <w:rPr>
                <w:rFonts w:hint="default" w:ascii="Arial" w:hAnsi="Arial" w:eastAsia="SimSun" w:cs="Arial"/>
                <w:b w:val="0"/>
                <w:bCs w:val="0"/>
                <w:color w:val="FF0000"/>
                <w:kern w:val="2"/>
                <w:sz w:val="20"/>
                <w:szCs w:val="20"/>
                <w:highlight w:val="yellow"/>
                <w:shd w:val="clear" w:color="auto" w:fill="FFFFFF"/>
                <w:lang w:val="pt-BR" w:eastAsia="zh-CN" w:bidi="hi-IN"/>
              </w:rPr>
              <w:t xml:space="preserve">2 - Informar </w:t>
            </w:r>
            <w:r>
              <w:rPr>
                <w:rFonts w:hint="default" w:ascii="Arial" w:hAnsi="Arial" w:cs="Arial"/>
                <w:b w:val="0"/>
                <w:bCs w:val="0"/>
                <w:color w:val="FF0000"/>
                <w:sz w:val="20"/>
                <w:szCs w:val="20"/>
                <w:highlight w:val="yellow"/>
                <w:shd w:val="clear" w:color="auto" w:fill="FFFFFF"/>
              </w:rPr>
              <w:t>ausência de ata vigente</w:t>
            </w:r>
            <w:r>
              <w:rPr>
                <w:rFonts w:hint="default" w:ascii="Arial" w:hAnsi="Arial" w:cs="Arial"/>
                <w:b w:val="0"/>
                <w:bCs w:val="0"/>
                <w:color w:val="FF0000"/>
                <w:sz w:val="20"/>
                <w:szCs w:val="20"/>
                <w:highlight w:val="yellow"/>
                <w:shd w:val="clear" w:color="auto" w:fill="FFFFFF"/>
                <w:lang w:val="pt-BR"/>
              </w:rPr>
              <w:t xml:space="preserve"> OU ata vigente (nº e data de vigência) com saldo zerado/insuficiente</w:t>
            </w:r>
            <w:r>
              <w:rPr>
                <w:rFonts w:hint="default" w:ascii="Arial" w:hAnsi="Arial" w:cs="Arial"/>
                <w:b w:val="0"/>
                <w:bCs w:val="0"/>
                <w:color w:val="FF0000"/>
                <w:sz w:val="20"/>
                <w:szCs w:val="20"/>
                <w:highlight w:val="yellow"/>
                <w:shd w:val="clear" w:color="auto" w:fill="FFFFFF"/>
              </w:rPr>
              <w:t xml:space="preserve"> (neste caso, </w:t>
            </w:r>
            <w:r>
              <w:rPr>
                <w:rFonts w:hint="default" w:ascii="Arial" w:hAnsi="Arial" w:cs="Arial"/>
                <w:b w:val="0"/>
                <w:bCs w:val="0"/>
                <w:color w:val="FF0000"/>
                <w:sz w:val="20"/>
                <w:szCs w:val="20"/>
                <w:highlight w:val="yellow"/>
                <w:shd w:val="clear" w:color="auto" w:fill="FFFFFF"/>
                <w:lang w:val="pt-BR"/>
              </w:rPr>
              <w:t>JUSTIFICAR</w:t>
            </w:r>
            <w:r>
              <w:rPr>
                <w:rFonts w:hint="default" w:ascii="Arial" w:hAnsi="Arial" w:cs="Arial"/>
                <w:b w:val="0"/>
                <w:bCs w:val="0"/>
                <w:color w:val="FF0000"/>
                <w:sz w:val="20"/>
                <w:szCs w:val="20"/>
                <w:highlight w:val="yellow"/>
                <w:shd w:val="clear" w:color="auto" w:fill="FFFFFF"/>
              </w:rPr>
              <w:t xml:space="preserve"> o aumento do consumo</w:t>
            </w:r>
            <w:r>
              <w:rPr>
                <w:rFonts w:hint="default" w:ascii="Arial" w:hAnsi="Arial" w:cs="Arial"/>
                <w:b w:val="0"/>
                <w:bCs w:val="0"/>
                <w:color w:val="FF0000"/>
                <w:sz w:val="20"/>
                <w:szCs w:val="20"/>
                <w:highlight w:val="yellow"/>
                <w:shd w:val="clear" w:color="auto" w:fill="FFFFFF"/>
                <w:lang w:val="pt-BR"/>
              </w:rPr>
              <w:t xml:space="preserve"> e informar o planejamento anual atualizado</w:t>
            </w:r>
            <w:r>
              <w:rPr>
                <w:rFonts w:hint="default" w:ascii="Arial" w:hAnsi="Arial" w:cs="Arial"/>
                <w:b w:val="0"/>
                <w:bCs w:val="0"/>
                <w:color w:val="FF0000"/>
                <w:sz w:val="20"/>
                <w:szCs w:val="20"/>
                <w:highlight w:val="yellow"/>
                <w:shd w:val="clear" w:color="auto" w:fill="FFFFFF"/>
              </w:rPr>
              <w:t>)</w:t>
            </w:r>
            <w:r>
              <w:rPr>
                <w:rFonts w:hint="default" w:ascii="Arial" w:hAnsi="Arial" w:cs="Arial"/>
                <w:b w:val="0"/>
                <w:bCs w:val="0"/>
                <w:color w:val="FF0000"/>
                <w:sz w:val="20"/>
                <w:szCs w:val="20"/>
                <w:highlight w:val="yellow"/>
                <w:shd w:val="clear" w:color="auto" w:fill="FFFFFF"/>
                <w:lang w:val="pt-BR"/>
              </w:rPr>
              <w:t>;</w:t>
            </w:r>
          </w:p>
          <w:p w14:paraId="6ED5BDCA">
            <w:pPr>
              <w:spacing w:line="276" w:lineRule="auto"/>
              <w:ind w:left="117" w:right="165"/>
              <w:jc w:val="both"/>
              <w:rPr>
                <w:rFonts w:hint="default" w:ascii="Arial" w:hAnsi="Arial" w:cs="Arial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b w:val="0"/>
                <w:bCs w:val="0"/>
                <w:color w:val="FF0000"/>
                <w:kern w:val="2"/>
                <w:sz w:val="20"/>
                <w:szCs w:val="20"/>
                <w:highlight w:val="yellow"/>
                <w:shd w:val="clear" w:color="auto" w:fill="FFFFFF"/>
                <w:lang w:val="pt-BR" w:eastAsia="zh-CN" w:bidi="hi-IN"/>
              </w:rPr>
              <w:t>3 - Informar</w:t>
            </w:r>
            <w:r>
              <w:rPr>
                <w:rFonts w:hint="default" w:ascii="Arial" w:hAnsi="Arial" w:cs="Arial"/>
                <w:b w:val="0"/>
                <w:bCs w:val="0"/>
                <w:color w:val="FF0000"/>
                <w:sz w:val="20"/>
                <w:szCs w:val="20"/>
                <w:highlight w:val="yellow"/>
                <w:shd w:val="clear" w:color="auto" w:fill="FFFFFF"/>
              </w:rPr>
              <w:t xml:space="preserve"> os riscos/prejuízos </w:t>
            </w:r>
            <w:r>
              <w:rPr>
                <w:rFonts w:hint="default" w:ascii="Arial" w:hAnsi="Arial" w:cs="Arial"/>
                <w:b w:val="0"/>
                <w:bCs w:val="0"/>
                <w:color w:val="FF0000"/>
                <w:sz w:val="20"/>
                <w:szCs w:val="20"/>
                <w:highlight w:val="yellow"/>
                <w:shd w:val="clear" w:color="auto" w:fill="FFFFFF"/>
                <w:lang w:val="pt-BR"/>
              </w:rPr>
              <w:t>AOS PACIENTES</w:t>
            </w:r>
            <w:r>
              <w:rPr>
                <w:rFonts w:hint="default" w:ascii="Arial" w:hAnsi="Arial" w:cs="Arial"/>
                <w:b w:val="0"/>
                <w:bCs w:val="0"/>
                <w:color w:val="FF0000"/>
                <w:sz w:val="20"/>
                <w:szCs w:val="20"/>
                <w:highlight w:val="yellow"/>
                <w:shd w:val="clear" w:color="auto" w:fill="FFFFFF"/>
              </w:rPr>
              <w:t xml:space="preserve"> com a falta do material.</w:t>
            </w:r>
          </w:p>
          <w:p w14:paraId="4EEED04C">
            <w:pPr>
              <w:spacing w:line="276" w:lineRule="auto"/>
              <w:ind w:left="117" w:right="165"/>
              <w:jc w:val="both"/>
              <w:rPr>
                <w:rFonts w:ascii="Arial" w:hAnsi="Arial" w:cs="Arial"/>
                <w:color w:val="548DD4"/>
              </w:rPr>
            </w:pPr>
          </w:p>
        </w:tc>
      </w:tr>
      <w:tr w14:paraId="57155EF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jc w:val="center"/>
        </w:trPr>
        <w:tc>
          <w:tcPr>
            <w:tcW w:w="9570" w:type="dxa"/>
            <w:tcBorders>
              <w:top w:val="single" w:color="000000" w:sz="4" w:space="0"/>
            </w:tcBorders>
            <w:shd w:val="clear" w:color="auto" w:fill="000000"/>
            <w:noWrap w:val="0"/>
            <w:vAlign w:val="top"/>
          </w:tcPr>
          <w:p w14:paraId="1D25FF45">
            <w:pPr>
              <w:pStyle w:val="36"/>
              <w:numPr>
                <w:ilvl w:val="0"/>
                <w:numId w:val="2"/>
              </w:numPr>
              <w:ind w:left="425" w:leftChars="0" w:right="225" w:rightChars="0" w:hanging="425" w:firstLineChars="0"/>
              <w:jc w:val="both"/>
              <w:rPr>
                <w:rFonts w:ascii="Arial" w:hAnsi="Arial" w:cs="Arial"/>
                <w:b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FFFFFF"/>
                <w:sz w:val="20"/>
                <w:szCs w:val="20"/>
              </w:rPr>
              <w:t xml:space="preserve">Demonstração da previsão da contratação com o Plano Anual de Compras </w:t>
            </w:r>
            <w:r>
              <w:rPr>
                <w:rFonts w:ascii="Arial" w:hAnsi="Arial" w:cs="Arial"/>
                <w:b/>
                <w:color w:val="FFFFFF"/>
                <w:sz w:val="20"/>
                <w:szCs w:val="20"/>
              </w:rPr>
              <w:t>(art. 18, § 1º, II, da Lei Federal nº 14.133, de 2021).</w:t>
            </w:r>
          </w:p>
        </w:tc>
      </w:tr>
      <w:tr w14:paraId="180BDE6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jc w:val="center"/>
        </w:trPr>
        <w:tc>
          <w:tcPr>
            <w:tcW w:w="9570" w:type="dxa"/>
            <w:tcBorders>
              <w:top w:val="single" w:color="000000" w:sz="4" w:space="0"/>
              <w:bottom w:val="single" w:color="000000" w:sz="4" w:space="0"/>
            </w:tcBorders>
            <w:noWrap w:val="0"/>
            <w:vAlign w:val="top"/>
          </w:tcPr>
          <w:p w14:paraId="103D68AD">
            <w:pPr>
              <w:widowControl w:val="0"/>
              <w:spacing w:line="276" w:lineRule="auto"/>
              <w:ind w:left="117" w:right="165"/>
              <w:jc w:val="both"/>
              <w:rPr>
                <w:rFonts w:ascii="Arial" w:hAnsi="Arial" w:cs="Arial"/>
              </w:rPr>
            </w:pPr>
          </w:p>
          <w:p w14:paraId="6F1799B6">
            <w:pPr>
              <w:widowControl w:val="0"/>
              <w:spacing w:line="276" w:lineRule="auto"/>
              <w:ind w:left="117" w:right="165"/>
              <w:jc w:val="both"/>
              <w:rPr>
                <w:rFonts w:hint="default" w:ascii="Arial" w:hAnsi="Arial" w:cs="Arial"/>
                <w:highlight w:val="none"/>
                <w:lang w:val="pt-BR"/>
              </w:rPr>
            </w:pPr>
            <w:r>
              <w:rPr>
                <w:rFonts w:ascii="Arial" w:hAnsi="Arial" w:cs="Arial"/>
              </w:rPr>
              <w:t>Os itens desta aquisição foram padronizados para uso pelos estabelecimentos através de análise e aprovação pela Superintendência dos Hospitais Públicos,  considerando aspectos de necessidade do insumo, dados de eficácia, segurança e eficiência. Tanto os itens, como os quantitativos desta aquisição constam na listagem do Planejamento OPME 202</w:t>
            </w:r>
            <w:r>
              <w:rPr>
                <w:rFonts w:hint="default" w:ascii="Arial" w:hAnsi="Arial" w:cs="Arial"/>
                <w:lang w:val="pt-BR"/>
              </w:rPr>
              <w:t>4/2025</w:t>
            </w:r>
            <w:r>
              <w:rPr>
                <w:rFonts w:ascii="Arial" w:hAnsi="Arial" w:cs="Arial"/>
              </w:rPr>
              <w:t xml:space="preserve">, realizados no </w:t>
            </w:r>
            <w:r>
              <w:rPr>
                <w:rFonts w:hint="default" w:ascii="Arial" w:hAnsi="Arial" w:cs="Arial"/>
                <w:lang w:val="pt-BR"/>
              </w:rPr>
              <w:t>1</w:t>
            </w:r>
            <w:r>
              <w:rPr>
                <w:rFonts w:ascii="Arial" w:hAnsi="Arial" w:cs="Arial"/>
              </w:rPr>
              <w:t>o. semestre de 202</w:t>
            </w:r>
            <w:r>
              <w:rPr>
                <w:rFonts w:hint="default" w:ascii="Arial" w:hAnsi="Arial" w:cs="Arial"/>
                <w:lang w:val="pt-BR"/>
              </w:rPr>
              <w:t>4</w:t>
            </w:r>
            <w:r>
              <w:rPr>
                <w:rFonts w:ascii="Arial" w:hAnsi="Arial" w:cs="Arial"/>
              </w:rPr>
              <w:t xml:space="preserve"> e lançados no programa SCCD. O planejamento foi aprovado pelas diretorias das unidades hospitalares e pela </w:t>
            </w:r>
            <w:r>
              <w:rPr>
                <w:rFonts w:ascii="Arial" w:hAnsi="Arial" w:cs="Arial"/>
                <w:highlight w:val="none"/>
              </w:rPr>
              <w:t xml:space="preserve">Superintendência dos Hospitais Públicos </w:t>
            </w:r>
            <w:r>
              <w:rPr>
                <w:rFonts w:ascii="Arial" w:hAnsi="Arial" w:cs="Arial"/>
                <w:highlight w:val="yellow"/>
              </w:rPr>
              <w:t>(Processo</w:t>
            </w:r>
            <w:r>
              <w:rPr>
                <w:rFonts w:hint="default" w:ascii="Arial" w:hAnsi="Arial" w:cs="Arial"/>
                <w:highlight w:val="yellow"/>
                <w:lang w:val="pt-BR"/>
              </w:rPr>
              <w:t>s</w:t>
            </w:r>
            <w:r>
              <w:rPr>
                <w:rFonts w:ascii="Arial" w:hAnsi="Arial" w:cs="Arial"/>
                <w:highlight w:val="yellow"/>
              </w:rPr>
              <w:t xml:space="preserve"> SES número </w:t>
            </w:r>
            <w:r>
              <w:rPr>
                <w:rFonts w:hint="default" w:ascii="Arial" w:hAnsi="Arial" w:cs="Arial"/>
                <w:highlight w:val="yellow"/>
                <w:lang w:val="pt-BR"/>
              </w:rPr>
              <w:t>128162/2024 - HGCR, 128143/2024 - ICSC, 128153/2024 - HRHDS, 128183/2024 - HRSJ, 128191/2024 - HIJG, 128206/2024 - HDWC, 128197/2024 - HGMTR, 128217/2024 - MCD e 128286/2024 - HNR</w:t>
            </w:r>
            <w:r>
              <w:rPr>
                <w:rFonts w:ascii="Arial" w:hAnsi="Arial" w:cs="Arial"/>
                <w:highlight w:val="yellow"/>
              </w:rPr>
              <w:t>)</w:t>
            </w:r>
            <w:r>
              <w:rPr>
                <w:rFonts w:ascii="Arial" w:hAnsi="Arial" w:cs="Arial"/>
                <w:highlight w:val="none"/>
              </w:rPr>
              <w:t>. Assim, demonstram o alinhamento entre a aquisição e o planejamento desta Secretaria</w:t>
            </w:r>
            <w:r>
              <w:rPr>
                <w:rFonts w:hint="default" w:ascii="Arial" w:hAnsi="Arial" w:cs="Arial"/>
                <w:highlight w:val="none"/>
                <w:lang w:val="pt-BR"/>
              </w:rPr>
              <w:t>.</w:t>
            </w:r>
          </w:p>
          <w:p w14:paraId="5F715AD5">
            <w:pPr>
              <w:widowControl w:val="0"/>
              <w:spacing w:line="276" w:lineRule="auto"/>
              <w:ind w:left="117" w:right="165"/>
              <w:jc w:val="both"/>
              <w:rPr>
                <w:rFonts w:ascii="Arial" w:hAnsi="Arial" w:cs="Arial"/>
              </w:rPr>
            </w:pPr>
          </w:p>
          <w:p w14:paraId="38D4FE33">
            <w:pPr>
              <w:widowControl w:val="0"/>
              <w:spacing w:line="276" w:lineRule="auto"/>
              <w:ind w:left="117" w:right="165"/>
              <w:jc w:val="both"/>
              <w:rPr>
                <w:rFonts w:ascii="Arial" w:hAnsi="Arial" w:cs="Arial"/>
                <w:b/>
                <w:color w:val="4472C4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</w:tr>
      <w:tr w14:paraId="125666B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jc w:val="center"/>
        </w:trPr>
        <w:tc>
          <w:tcPr>
            <w:tcW w:w="9570" w:type="dxa"/>
            <w:tcBorders>
              <w:top w:val="single" w:color="000000" w:sz="4" w:space="0"/>
              <w:bottom w:val="single" w:color="000000" w:sz="4" w:space="0"/>
            </w:tcBorders>
            <w:shd w:val="clear" w:color="auto" w:fill="000000"/>
            <w:noWrap w:val="0"/>
            <w:vAlign w:val="top"/>
          </w:tcPr>
          <w:p w14:paraId="18A1A676">
            <w:pPr>
              <w:pStyle w:val="36"/>
              <w:numPr>
                <w:ilvl w:val="0"/>
                <w:numId w:val="2"/>
              </w:numPr>
              <w:ind w:left="425" w:leftChars="0" w:hanging="425" w:firstLineChars="0"/>
              <w:rPr>
                <w:rFonts w:ascii="Arial" w:hAnsi="Arial" w:cs="Arial"/>
                <w:b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FFFFFF"/>
                <w:sz w:val="20"/>
                <w:szCs w:val="20"/>
              </w:rPr>
              <w:t xml:space="preserve">Descrição dos requisitos da potencial contratação </w:t>
            </w:r>
            <w:r>
              <w:rPr>
                <w:rFonts w:ascii="Arial" w:hAnsi="Arial" w:cs="Arial"/>
                <w:b/>
                <w:color w:val="FFFFFF"/>
                <w:sz w:val="20"/>
                <w:szCs w:val="20"/>
              </w:rPr>
              <w:t>(art. 18, § 1º, III, da Lei Federal nº 14.133, de 2021)</w:t>
            </w:r>
          </w:p>
        </w:tc>
      </w:tr>
      <w:tr w14:paraId="7FBA039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jc w:val="center"/>
        </w:trPr>
        <w:tc>
          <w:tcPr>
            <w:tcW w:w="9570" w:type="dxa"/>
            <w:tcBorders>
              <w:top w:val="single" w:color="000000" w:sz="4" w:space="0"/>
              <w:bottom w:val="nil"/>
            </w:tcBorders>
            <w:noWrap w:val="0"/>
            <w:vAlign w:val="top"/>
          </w:tcPr>
          <w:p w14:paraId="7F12DDCF">
            <w:pPr>
              <w:spacing w:after="120" w:line="276" w:lineRule="auto"/>
              <w:ind w:right="23"/>
              <w:jc w:val="both"/>
              <w:rPr>
                <w:rFonts w:hint="default" w:ascii="Arial" w:hAnsi="Arial" w:cs="Arial"/>
                <w:lang w:val="pt-BR"/>
              </w:rPr>
            </w:pPr>
          </w:p>
          <w:p w14:paraId="168AC044">
            <w:pPr>
              <w:spacing w:line="276" w:lineRule="auto"/>
              <w:ind w:left="117" w:right="23"/>
              <w:jc w:val="both"/>
              <w:rPr>
                <w:rFonts w:hint="default" w:ascii="Arial" w:hAnsi="Arial"/>
                <w:highlight w:val="none"/>
              </w:rPr>
            </w:pPr>
            <w:r>
              <w:rPr>
                <w:rFonts w:hint="default" w:ascii="Arial" w:hAnsi="Arial"/>
                <w:highlight w:val="none"/>
              </w:rPr>
              <w:t xml:space="preserve">O </w:t>
            </w:r>
            <w:r>
              <w:rPr>
                <w:rFonts w:hint="default" w:ascii="Arial" w:hAnsi="Arial"/>
                <w:highlight w:val="none"/>
                <w:lang w:val="pt-BR"/>
              </w:rPr>
              <w:t>bem de consumo</w:t>
            </w:r>
            <w:r>
              <w:rPr>
                <w:rFonts w:hint="default" w:ascii="Arial" w:hAnsi="Arial"/>
                <w:highlight w:val="none"/>
              </w:rPr>
              <w:t xml:space="preserve"> a ser </w:t>
            </w:r>
            <w:r>
              <w:rPr>
                <w:rFonts w:hint="default" w:ascii="Arial" w:hAnsi="Arial"/>
                <w:highlight w:val="none"/>
                <w:lang w:val="pt-BR"/>
              </w:rPr>
              <w:t>adquirido</w:t>
            </w:r>
            <w:r>
              <w:rPr>
                <w:rFonts w:hint="default" w:ascii="Arial" w:hAnsi="Arial"/>
                <w:highlight w:val="none"/>
              </w:rPr>
              <w:t xml:space="preserve"> deverá </w:t>
            </w:r>
            <w:r>
              <w:rPr>
                <w:rFonts w:hint="default" w:ascii="Arial" w:hAnsi="Arial"/>
                <w:highlight w:val="none"/>
                <w:lang w:val="pt-BR"/>
              </w:rPr>
              <w:t>s</w:t>
            </w:r>
            <w:r>
              <w:rPr>
                <w:rFonts w:hint="default" w:ascii="Arial" w:hAnsi="Arial"/>
                <w:highlight w:val="none"/>
              </w:rPr>
              <w:t xml:space="preserve">eguir rigorosamente os requisitos contidos no Termo de Referência, </w:t>
            </w:r>
            <w:r>
              <w:rPr>
                <w:rFonts w:hint="default" w:ascii="Arial" w:hAnsi="Arial"/>
                <w:highlight w:val="none"/>
                <w:lang w:val="pt-BR"/>
              </w:rPr>
              <w:t>no qual</w:t>
            </w:r>
            <w:r>
              <w:rPr>
                <w:rFonts w:hint="default" w:ascii="Arial" w:hAnsi="Arial"/>
                <w:highlight w:val="none"/>
              </w:rPr>
              <w:t xml:space="preserve"> constam as características </w:t>
            </w:r>
            <w:r>
              <w:rPr>
                <w:rFonts w:hint="default" w:ascii="Arial" w:hAnsi="Arial"/>
                <w:highlight w:val="none"/>
                <w:lang w:val="pt-BR"/>
              </w:rPr>
              <w:t xml:space="preserve">do bem a ser adquirido </w:t>
            </w:r>
            <w:r>
              <w:rPr>
                <w:rFonts w:hint="default" w:ascii="Arial" w:hAnsi="Arial"/>
                <w:highlight w:val="none"/>
              </w:rPr>
              <w:t xml:space="preserve">e </w:t>
            </w:r>
            <w:r>
              <w:rPr>
                <w:rFonts w:hint="default" w:ascii="Arial" w:hAnsi="Arial"/>
                <w:highlight w:val="none"/>
                <w:lang w:val="pt-BR"/>
              </w:rPr>
              <w:t>as</w:t>
            </w:r>
            <w:r>
              <w:rPr>
                <w:rFonts w:hint="default" w:ascii="Arial" w:hAnsi="Arial"/>
                <w:highlight w:val="none"/>
              </w:rPr>
              <w:t xml:space="preserve"> obrigações da contratada necessári</w:t>
            </w:r>
            <w:r>
              <w:rPr>
                <w:rFonts w:hint="default" w:ascii="Arial" w:hAnsi="Arial"/>
                <w:highlight w:val="none"/>
                <w:lang w:val="pt-BR"/>
              </w:rPr>
              <w:t>a</w:t>
            </w:r>
            <w:r>
              <w:rPr>
                <w:rFonts w:hint="default" w:ascii="Arial" w:hAnsi="Arial"/>
                <w:highlight w:val="none"/>
              </w:rPr>
              <w:t>s para o atendimento da demanda.</w:t>
            </w:r>
          </w:p>
          <w:p w14:paraId="2B9385E5">
            <w:pPr>
              <w:spacing w:line="276" w:lineRule="auto"/>
              <w:ind w:left="117" w:right="23"/>
              <w:jc w:val="both"/>
              <w:rPr>
                <w:rFonts w:ascii="Arial" w:hAnsi="Arial" w:cs="Arial"/>
              </w:rPr>
            </w:pPr>
          </w:p>
        </w:tc>
      </w:tr>
      <w:tr w14:paraId="7087791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jc w:val="center"/>
        </w:trPr>
        <w:tc>
          <w:tcPr>
            <w:tcW w:w="9570" w:type="dxa"/>
            <w:tcBorders>
              <w:top w:val="nil"/>
            </w:tcBorders>
            <w:shd w:val="clear" w:color="auto" w:fill="000000"/>
            <w:noWrap w:val="0"/>
            <w:vAlign w:val="top"/>
          </w:tcPr>
          <w:p w14:paraId="59BDBD02">
            <w:pPr>
              <w:pStyle w:val="36"/>
              <w:numPr>
                <w:ilvl w:val="0"/>
                <w:numId w:val="2"/>
              </w:numPr>
              <w:ind w:left="425" w:leftChars="0" w:hanging="425" w:firstLineChars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Estimativas das quantidades para contratação, acompanhadas de memórias de cálculo e dos documentos que lhe dão suporte  (art. 18, § 1º, IV, da Lei Fed</w:t>
            </w:r>
            <w:r>
              <w:rPr>
                <w:rFonts w:ascii="Arial" w:hAnsi="Arial" w:cs="Arial"/>
                <w:b/>
                <w:bCs/>
                <w:color w:val="FFFFFF"/>
                <w:sz w:val="20"/>
                <w:szCs w:val="20"/>
              </w:rPr>
              <w:t>eral nº 14.133, de 2021)</w:t>
            </w:r>
            <w:r>
              <w:rPr>
                <w:rFonts w:hint="default" w:ascii="Arial" w:hAnsi="Arial" w:cs="Arial"/>
                <w:b/>
                <w:bCs/>
                <w:color w:val="FFFFFF"/>
                <w:sz w:val="20"/>
                <w:szCs w:val="20"/>
                <w:lang w:val="pt-BR"/>
              </w:rPr>
              <w:t xml:space="preserve">, </w:t>
            </w:r>
            <w:r>
              <w:rPr>
                <w:rFonts w:hint="default" w:ascii="Arial" w:hAnsi="Arial" w:cs="Arial"/>
                <w:b/>
                <w:bCs/>
                <w:color w:val="FFFFFF"/>
                <w:sz w:val="20"/>
                <w:szCs w:val="20"/>
                <w:highlight w:val="none"/>
                <w:lang w:val="pt-BR"/>
              </w:rPr>
              <w:t xml:space="preserve">bem como unidades e quantidades a serem adquiridas em função de consumo e </w:t>
            </w:r>
            <w:r>
              <w:rPr>
                <w:rFonts w:hint="default" w:ascii="Arial" w:hAnsi="Arial"/>
                <w:b/>
                <w:bCs/>
                <w:color w:val="FFFFFF"/>
                <w:sz w:val="20"/>
                <w:szCs w:val="20"/>
                <w:highlight w:val="none"/>
                <w:lang w:val="pt-BR"/>
              </w:rPr>
              <w:t xml:space="preserve">utilização prováveis, cuja estimativa será obtida, sempre que possível, mediante adequadas técnicas quantitativas, admitido o fornecimento contínuo (art. 40, III da </w:t>
            </w:r>
            <w:r>
              <w:rPr>
                <w:rFonts w:ascii="Arial" w:hAnsi="Arial" w:cs="Arial"/>
                <w:b/>
                <w:bCs/>
                <w:color w:val="FFFFFF"/>
                <w:sz w:val="20"/>
                <w:szCs w:val="20"/>
                <w:highlight w:val="none"/>
              </w:rPr>
              <w:t>Lei Federal nº 14.133, de 2021</w:t>
            </w:r>
            <w:r>
              <w:rPr>
                <w:rFonts w:hint="default" w:ascii="Arial" w:hAnsi="Arial" w:cs="Arial"/>
                <w:b/>
                <w:bCs/>
                <w:color w:val="FFFFFF"/>
                <w:sz w:val="20"/>
                <w:szCs w:val="20"/>
                <w:lang w:val="pt-BR"/>
              </w:rPr>
              <w:t>)</w:t>
            </w:r>
          </w:p>
        </w:tc>
      </w:tr>
      <w:tr w14:paraId="62F585B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jc w:val="center"/>
        </w:trPr>
        <w:tc>
          <w:tcPr>
            <w:tcW w:w="9570" w:type="dxa"/>
            <w:tcBorders>
              <w:top w:val="single" w:color="000000" w:sz="4" w:space="0"/>
              <w:bottom w:val="single" w:color="000000" w:sz="4" w:space="0"/>
            </w:tcBorders>
            <w:noWrap w:val="0"/>
            <w:vAlign w:val="top"/>
          </w:tcPr>
          <w:p w14:paraId="621BA11D">
            <w:pPr>
              <w:spacing w:after="120" w:line="276" w:lineRule="auto"/>
              <w:ind w:left="117" w:right="165"/>
              <w:jc w:val="both"/>
              <w:rPr>
                <w:rFonts w:ascii="Arial" w:hAnsi="Arial" w:cs="Arial"/>
                <w:b/>
                <w:bCs/>
              </w:rPr>
            </w:pPr>
          </w:p>
          <w:p w14:paraId="10DFA027">
            <w:pPr>
              <w:spacing w:line="276" w:lineRule="auto"/>
              <w:ind w:left="117" w:right="165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 estimativas das quantidades para contratação podem ser encontradas no ANEXO I (Re</w:t>
            </w:r>
            <w:r>
              <w:rPr>
                <w:rFonts w:hint="default" w:ascii="Arial" w:hAnsi="Arial" w:cs="Arial"/>
                <w:lang w:val="pt-BR"/>
              </w:rPr>
              <w:t>quisição</w:t>
            </w:r>
            <w:r>
              <w:rPr>
                <w:rFonts w:ascii="Arial" w:hAnsi="Arial" w:cs="Arial"/>
              </w:rPr>
              <w:t xml:space="preserve"> SCCD)</w:t>
            </w:r>
          </w:p>
          <w:p w14:paraId="042DE0E1">
            <w:pPr>
              <w:spacing w:line="276" w:lineRule="auto"/>
              <w:ind w:right="165"/>
              <w:jc w:val="both"/>
              <w:rPr>
                <w:rFonts w:hint="default" w:ascii="Arial" w:hAnsi="Arial" w:cs="Arial"/>
                <w:lang w:val="pt-BR"/>
              </w:rPr>
            </w:pPr>
          </w:p>
          <w:p w14:paraId="47B9908C">
            <w:pPr>
              <w:spacing w:line="276" w:lineRule="auto"/>
              <w:ind w:left="117" w:right="165"/>
              <w:jc w:val="both"/>
              <w:rPr>
                <w:rFonts w:ascii="Arial" w:hAnsi="Arial" w:cs="Arial"/>
              </w:rPr>
            </w:pPr>
            <w:r>
              <w:rPr>
                <w:rFonts w:hint="default" w:ascii="Arial" w:hAnsi="Arial" w:cs="Arial"/>
                <w:lang w:val="pt-BR"/>
              </w:rPr>
              <w:t>As estimativas foram calculadas com base n</w:t>
            </w:r>
            <w:r>
              <w:rPr>
                <w:rFonts w:ascii="Arial" w:hAnsi="Arial" w:cs="Arial"/>
              </w:rPr>
              <w:t>o Relatório de planejamento do sistema SCCD</w:t>
            </w:r>
            <w:r>
              <w:rPr>
                <w:rFonts w:hint="default" w:ascii="Arial" w:hAnsi="Arial" w:cs="Arial"/>
                <w:lang w:val="pt-BR"/>
              </w:rPr>
              <w:t xml:space="preserve">, constante no </w:t>
            </w:r>
            <w:r>
              <w:rPr>
                <w:rFonts w:ascii="Arial" w:hAnsi="Arial" w:cs="Arial"/>
                <w:highlight w:val="yellow"/>
              </w:rPr>
              <w:t xml:space="preserve">Processo SES número </w:t>
            </w:r>
            <w:r>
              <w:rPr>
                <w:rFonts w:hint="default" w:ascii="Arial" w:hAnsi="Arial" w:cs="Arial"/>
                <w:highlight w:val="yellow"/>
                <w:lang w:val="pt-BR"/>
              </w:rPr>
              <w:t>128162/2024 - HGCR, 128143/2024 - ICSC, 128153/2024 - HRHDS, 128183/2024 - HRSJ, 128191/2024 - HIJG, 128206/2024 - HDWC, 128197/2024 - HGMTR, 128217/2024 - MCD e 128286/2024 - HNR</w:t>
            </w:r>
            <w:r>
              <w:rPr>
                <w:rFonts w:ascii="Arial" w:hAnsi="Arial" w:cs="Arial"/>
              </w:rPr>
              <w:t>, o qual traz os quantitativos do planejamento OPME 202</w:t>
            </w:r>
            <w:r>
              <w:rPr>
                <w:rFonts w:hint="default" w:ascii="Arial" w:hAnsi="Arial" w:cs="Arial"/>
                <w:lang w:val="pt-BR"/>
              </w:rPr>
              <w:t>5</w:t>
            </w:r>
            <w:r>
              <w:rPr>
                <w:rFonts w:ascii="Arial" w:hAnsi="Arial" w:cs="Arial"/>
              </w:rPr>
              <w:t xml:space="preserve"> e o</w:t>
            </w:r>
            <w:r>
              <w:rPr>
                <w:rFonts w:hint="default" w:ascii="Arial" w:hAnsi="Arial" w:cs="Arial"/>
                <w:lang w:val="pt-BR"/>
              </w:rPr>
              <w:t>s</w:t>
            </w:r>
            <w:r>
              <w:rPr>
                <w:rFonts w:ascii="Arial" w:hAnsi="Arial" w:cs="Arial"/>
              </w:rPr>
              <w:t xml:space="preserve"> quantitativo</w:t>
            </w:r>
            <w:r>
              <w:rPr>
                <w:rFonts w:hint="default" w:ascii="Arial" w:hAnsi="Arial" w:cs="Arial"/>
                <w:lang w:val="pt-BR"/>
              </w:rPr>
              <w:t>s</w:t>
            </w:r>
            <w:r>
              <w:rPr>
                <w:rFonts w:ascii="Arial" w:hAnsi="Arial" w:cs="Arial"/>
              </w:rPr>
              <w:t xml:space="preserve"> do Consumo médio</w:t>
            </w:r>
            <w:r>
              <w:rPr>
                <w:rFonts w:hint="default" w:ascii="Arial" w:hAnsi="Arial" w:cs="Arial"/>
                <w:lang w:val="pt-BR"/>
              </w:rPr>
              <w:t xml:space="preserve"> anual</w:t>
            </w:r>
            <w:r>
              <w:rPr>
                <w:rFonts w:ascii="Arial" w:hAnsi="Arial" w:cs="Arial"/>
              </w:rPr>
              <w:t>. O Consumo médio pode apresentar alteração no caso de falta do item durante o último ano.</w:t>
            </w:r>
          </w:p>
          <w:p w14:paraId="32C41FDC">
            <w:pPr>
              <w:spacing w:line="276" w:lineRule="auto"/>
              <w:ind w:left="117" w:right="165"/>
              <w:jc w:val="both"/>
              <w:rPr>
                <w:rFonts w:ascii="Arial" w:hAnsi="Arial" w:cs="Arial"/>
              </w:rPr>
            </w:pPr>
          </w:p>
          <w:p w14:paraId="64709D39">
            <w:pPr>
              <w:spacing w:line="276" w:lineRule="auto"/>
              <w:ind w:left="117" w:right="165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  <w:r>
              <w:rPr>
                <w:rFonts w:hint="default" w:ascii="Arial" w:hAnsi="Arial" w:cs="Arial"/>
                <w:lang w:val="pt-BR"/>
              </w:rPr>
              <w:t xml:space="preserve"> quantidade estimada é a mínima necessária para garantir o atendimento da demanda de OPME no período de 180 dias, período estimado para a conclusão de procedimento licitatório para abastecimento anual.</w:t>
            </w:r>
          </w:p>
          <w:p w14:paraId="5095EA16">
            <w:pPr>
              <w:spacing w:line="276" w:lineRule="auto"/>
              <w:ind w:left="117" w:right="165"/>
              <w:jc w:val="both"/>
              <w:rPr>
                <w:rFonts w:ascii="Arial" w:hAnsi="Arial" w:cs="Arial"/>
                <w:color w:val="548DD4"/>
              </w:rPr>
            </w:pPr>
          </w:p>
        </w:tc>
      </w:tr>
    </w:tbl>
    <w:p w14:paraId="5D4A7653">
      <w:pPr>
        <w:spacing w:line="360" w:lineRule="auto"/>
        <w:jc w:val="center"/>
        <w:rPr>
          <w:rFonts w:ascii="Arial" w:hAnsi="Arial" w:eastAsia="Cambria" w:cs="Arial"/>
          <w:b/>
          <w:iCs/>
        </w:rPr>
      </w:pPr>
    </w:p>
    <w:tbl>
      <w:tblPr>
        <w:tblStyle w:val="7"/>
        <w:tblW w:w="9570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shd w:val="clear" w:color="auto" w:fill="365F91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70"/>
      </w:tblGrid>
      <w:tr w14:paraId="04A69CD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365F91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jc w:val="center"/>
        </w:trPr>
        <w:tc>
          <w:tcPr>
            <w:tcW w:w="9570" w:type="dxa"/>
            <w:shd w:val="clear" w:color="auto" w:fill="000000"/>
            <w:noWrap w:val="0"/>
            <w:vAlign w:val="top"/>
          </w:tcPr>
          <w:p w14:paraId="687B451C">
            <w:pPr>
              <w:rPr>
                <w:rFonts w:ascii="Arial" w:hAnsi="Arial" w:cs="Arial"/>
                <w:b/>
                <w:color w:val="FFFFFF"/>
              </w:rPr>
            </w:pPr>
            <w:r>
              <w:rPr>
                <w:rFonts w:ascii="Arial" w:hAnsi="Arial" w:cs="Arial"/>
                <w:b/>
                <w:color w:val="FFFFFF"/>
              </w:rPr>
              <w:t xml:space="preserve">III – PROSPECÇÃO DE SOLUÇÕES </w:t>
            </w:r>
          </w:p>
        </w:tc>
      </w:tr>
    </w:tbl>
    <w:p w14:paraId="7D921947">
      <w:pPr>
        <w:spacing w:line="360" w:lineRule="auto"/>
        <w:rPr>
          <w:rFonts w:ascii="Arial" w:hAnsi="Arial" w:eastAsia="Cambria" w:cs="Arial"/>
          <w:b/>
          <w:iCs/>
        </w:rPr>
      </w:pPr>
    </w:p>
    <w:tbl>
      <w:tblPr>
        <w:tblStyle w:val="7"/>
        <w:tblW w:w="9570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70"/>
      </w:tblGrid>
      <w:tr w14:paraId="014A051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jc w:val="center"/>
        </w:trPr>
        <w:tc>
          <w:tcPr>
            <w:tcW w:w="9570" w:type="dxa"/>
            <w:tcBorders>
              <w:top w:val="single" w:color="000000" w:sz="4" w:space="0"/>
            </w:tcBorders>
            <w:shd w:val="clear" w:color="auto" w:fill="000000"/>
            <w:noWrap w:val="0"/>
            <w:vAlign w:val="top"/>
          </w:tcPr>
          <w:p w14:paraId="6E1F2340">
            <w:pPr>
              <w:pStyle w:val="36"/>
              <w:numPr>
                <w:ilvl w:val="0"/>
                <w:numId w:val="2"/>
              </w:num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000000"/>
              <w:ind w:left="425" w:leftChars="0" w:hanging="425" w:firstLineChars="0"/>
              <w:jc w:val="both"/>
              <w:rPr>
                <w:rFonts w:ascii="Arial" w:hAnsi="Arial" w:cs="Arial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FFFFFF"/>
                <w:sz w:val="20"/>
                <w:szCs w:val="20"/>
              </w:rPr>
              <w:t>Levantamento mercadológico (art. 18, § 1º, V, da Lei Federal nº 14.133, de 2021)</w:t>
            </w:r>
            <w:r>
              <w:rPr>
                <w:rFonts w:hint="default" w:ascii="Arial" w:hAnsi="Arial" w:cs="Arial"/>
                <w:b/>
                <w:bCs/>
                <w:color w:val="FFFFFF"/>
                <w:sz w:val="20"/>
                <w:szCs w:val="20"/>
                <w:lang w:val="pt-BR"/>
              </w:rPr>
              <w:t xml:space="preserve"> e custos e benefícios quando da possibilidade de compra ou locação de bens (art. 44, da </w:t>
            </w:r>
            <w:r>
              <w:rPr>
                <w:rFonts w:ascii="Arial" w:hAnsi="Arial" w:cs="Arial"/>
                <w:b/>
                <w:bCs/>
                <w:color w:val="FFFFFF"/>
                <w:sz w:val="20"/>
                <w:szCs w:val="20"/>
              </w:rPr>
              <w:t>Lei Federal nº 14.133, de 2021</w:t>
            </w:r>
            <w:r>
              <w:rPr>
                <w:rFonts w:hint="default" w:ascii="Arial" w:hAnsi="Arial" w:cs="Arial"/>
                <w:b/>
                <w:bCs/>
                <w:color w:val="FFFFFF"/>
                <w:sz w:val="20"/>
                <w:szCs w:val="20"/>
                <w:lang w:val="pt-BR"/>
              </w:rPr>
              <w:t>)</w:t>
            </w:r>
          </w:p>
        </w:tc>
      </w:tr>
      <w:tr w14:paraId="7A75B2F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jc w:val="center"/>
        </w:trPr>
        <w:tc>
          <w:tcPr>
            <w:tcW w:w="9570" w:type="dxa"/>
            <w:tcBorders>
              <w:top w:val="single" w:color="000000" w:sz="4" w:space="0"/>
            </w:tcBorders>
            <w:noWrap w:val="0"/>
            <w:vAlign w:val="top"/>
          </w:tcPr>
          <w:p w14:paraId="476F847A">
            <w:pPr>
              <w:rPr>
                <w:rFonts w:ascii="Arial" w:hAnsi="Arial" w:cs="Arial"/>
              </w:rPr>
            </w:pPr>
          </w:p>
          <w:p w14:paraId="2EA66C20">
            <w:pPr>
              <w:ind w:left="200" w:leftChars="0" w:right="165" w:firstLine="0" w:firstLineChars="0"/>
              <w:jc w:val="both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O levantamento mercadológico foi realizado baseado em contratações anteriores da Secretaria do Estado da Saúde, além do levantamento através de editais de outros órgãos</w:t>
            </w:r>
            <w:r>
              <w:rPr>
                <w:rFonts w:hint="default" w:ascii="Arial" w:hAnsi="Arial" w:cs="Arial"/>
                <w:color w:val="auto"/>
                <w:lang w:val="pt-BR"/>
              </w:rPr>
              <w:t xml:space="preserve"> públicos</w:t>
            </w:r>
            <w:r>
              <w:rPr>
                <w:rFonts w:ascii="Arial" w:hAnsi="Arial" w:cs="Arial"/>
                <w:color w:val="auto"/>
              </w:rPr>
              <w:t xml:space="preserve"> </w:t>
            </w:r>
            <w:r>
              <w:rPr>
                <w:rFonts w:hint="default" w:ascii="Arial" w:hAnsi="Arial" w:cs="Arial"/>
                <w:color w:val="auto"/>
                <w:lang w:val="pt-BR"/>
              </w:rPr>
              <w:t xml:space="preserve">com necessidades </w:t>
            </w:r>
            <w:r>
              <w:rPr>
                <w:rFonts w:ascii="Arial" w:hAnsi="Arial" w:cs="Arial"/>
                <w:color w:val="auto"/>
              </w:rPr>
              <w:t xml:space="preserve">similares ou equivalentes. </w:t>
            </w:r>
          </w:p>
          <w:p w14:paraId="39643AD8">
            <w:pPr>
              <w:ind w:left="117" w:right="165"/>
              <w:jc w:val="both"/>
              <w:rPr>
                <w:rFonts w:ascii="Arial" w:hAnsi="Arial" w:cs="Arial"/>
              </w:rPr>
            </w:pPr>
          </w:p>
        </w:tc>
      </w:tr>
      <w:tr w14:paraId="636F6FD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jc w:val="center"/>
        </w:trPr>
        <w:tc>
          <w:tcPr>
            <w:tcW w:w="9570" w:type="dxa"/>
            <w:tcBorders>
              <w:top w:val="single" w:color="000000" w:sz="4" w:space="0"/>
            </w:tcBorders>
            <w:shd w:val="clear" w:color="auto" w:fill="000000"/>
            <w:noWrap w:val="0"/>
            <w:vAlign w:val="top"/>
          </w:tcPr>
          <w:p w14:paraId="520DC3F4">
            <w:pPr>
              <w:pStyle w:val="36"/>
              <w:numPr>
                <w:ilvl w:val="0"/>
                <w:numId w:val="2"/>
              </w:numPr>
              <w:ind w:left="425" w:leftChars="0" w:hanging="425" w:firstLineChars="0"/>
              <w:rPr>
                <w:rFonts w:ascii="Arial" w:hAnsi="Arial" w:cs="Arial"/>
                <w:b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FFFFFF"/>
                <w:sz w:val="20"/>
                <w:szCs w:val="20"/>
                <w:shd w:val="clear" w:color="auto" w:fill="000000"/>
              </w:rPr>
              <w:t>Estimativa</w:t>
            </w:r>
            <w:r>
              <w:rPr>
                <w:rFonts w:ascii="Arial" w:hAnsi="Arial" w:cs="Arial"/>
                <w:b/>
                <w:bCs/>
                <w:color w:val="FFFFFF"/>
                <w:sz w:val="20"/>
                <w:szCs w:val="20"/>
              </w:rPr>
              <w:t xml:space="preserve"> do valor da contratação (art. 18, § 1º, VI, da Lei Federal nº 14.133, de 2021).</w:t>
            </w:r>
          </w:p>
        </w:tc>
      </w:tr>
      <w:tr w14:paraId="580821D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jc w:val="center"/>
        </w:trPr>
        <w:tc>
          <w:tcPr>
            <w:tcW w:w="9570" w:type="dxa"/>
            <w:tcBorders>
              <w:top w:val="single" w:color="000000" w:sz="4" w:space="0"/>
              <w:bottom w:val="single" w:color="000000" w:sz="4" w:space="0"/>
            </w:tcBorders>
            <w:noWrap w:val="0"/>
            <w:vAlign w:val="top"/>
          </w:tcPr>
          <w:p w14:paraId="2018F3CA">
            <w:pPr>
              <w:spacing w:after="120" w:line="276" w:lineRule="auto"/>
              <w:ind w:left="196" w:right="165"/>
              <w:jc w:val="both"/>
              <w:rPr>
                <w:rFonts w:ascii="Arial" w:hAnsi="Arial" w:cs="Arial"/>
              </w:rPr>
            </w:pPr>
          </w:p>
          <w:p w14:paraId="2E098976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tabs>
                <w:tab w:val="left" w:pos="240"/>
              </w:tabs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240" w:lineRule="auto"/>
              <w:ind w:left="200" w:leftChars="100" w:right="152" w:rightChars="76" w:firstLine="0" w:firstLineChars="0"/>
              <w:jc w:val="both"/>
              <w:textAlignment w:val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A estimativa de valor foi </w:t>
            </w:r>
            <w:r>
              <w:rPr>
                <w:rFonts w:hint="default" w:ascii="Arial" w:hAnsi="Arial" w:cs="Arial"/>
                <w:sz w:val="20"/>
                <w:szCs w:val="20"/>
                <w:lang w:val="pt-BR"/>
              </w:rPr>
              <w:t>calculada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hint="default" w:ascii="Arial" w:hAnsi="Arial" w:cs="Arial"/>
                <w:b w:val="0"/>
                <w:bCs w:val="0"/>
                <w:color w:val="auto"/>
                <w:sz w:val="20"/>
                <w:szCs w:val="20"/>
                <w:shd w:val="clear" w:color="auto" w:fill="auto"/>
                <w:lang w:val="pt-BR"/>
              </w:rPr>
              <w:t xml:space="preserve">conforme preço da última aquisição da SES ou </w:t>
            </w:r>
            <w:r>
              <w:rPr>
                <w:rFonts w:hint="default" w:ascii="Arial" w:hAnsi="Arial" w:cs="Arial"/>
                <w:b w:val="0"/>
                <w:bCs w:val="0"/>
                <w:color w:val="auto"/>
                <w:sz w:val="20"/>
                <w:szCs w:val="20"/>
                <w:shd w:val="clear" w:color="auto" w:fill="auto"/>
              </w:rPr>
              <w:t>conforme</w:t>
            </w:r>
            <w:r>
              <w:rPr>
                <w:rFonts w:hint="default" w:ascii="Arial" w:hAnsi="Arial" w:cs="Arial"/>
                <w:b w:val="0"/>
                <w:bCs w:val="0"/>
                <w:color w:val="auto"/>
                <w:sz w:val="20"/>
                <w:szCs w:val="20"/>
                <w:shd w:val="clear" w:color="auto" w:fill="auto"/>
                <w:lang w:val="pt-BR"/>
              </w:rPr>
              <w:t xml:space="preserve"> menor preço das cotações obtidas, mediante solicitação a fornecedores diversos,</w:t>
            </w:r>
            <w:r>
              <w:rPr>
                <w:rFonts w:ascii="Arial" w:hAnsi="Arial" w:cs="Arial"/>
                <w:sz w:val="20"/>
                <w:szCs w:val="20"/>
              </w:rPr>
              <w:t xml:space="preserve"> e pode ser encontrad</w:t>
            </w:r>
            <w:r>
              <w:rPr>
                <w:rFonts w:hint="default" w:ascii="Arial" w:hAnsi="Arial" w:cs="Arial"/>
                <w:sz w:val="20"/>
                <w:szCs w:val="20"/>
                <w:lang w:val="pt-BR"/>
              </w:rPr>
              <w:t>a</w:t>
            </w:r>
            <w:r>
              <w:rPr>
                <w:rFonts w:ascii="Arial" w:hAnsi="Arial" w:cs="Arial"/>
                <w:sz w:val="20"/>
                <w:szCs w:val="20"/>
              </w:rPr>
              <w:t xml:space="preserve"> no ANEXO I.</w:t>
            </w:r>
          </w:p>
          <w:p w14:paraId="32757E96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tabs>
                <w:tab w:val="left" w:pos="240"/>
              </w:tabs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240" w:lineRule="auto"/>
              <w:ind w:left="200" w:leftChars="100" w:right="152" w:rightChars="76" w:firstLine="0" w:firstLineChars="0"/>
              <w:jc w:val="both"/>
              <w:textAlignment w:val="auto"/>
              <w:rPr>
                <w:rFonts w:ascii="Arial" w:hAnsi="Arial" w:cs="Arial"/>
                <w:sz w:val="20"/>
                <w:szCs w:val="20"/>
              </w:rPr>
            </w:pPr>
          </w:p>
          <w:p w14:paraId="3A3E3BFC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tabs>
                <w:tab w:val="left" w:pos="240"/>
              </w:tabs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240" w:lineRule="auto"/>
              <w:ind w:left="200" w:leftChars="100" w:right="152" w:rightChars="76" w:firstLine="0" w:firstLineChars="0"/>
              <w:jc w:val="both"/>
              <w:textAlignment w:val="auto"/>
              <w:rPr>
                <w:rFonts w:hint="default" w:ascii="Arial" w:hAnsi="Arial" w:cs="Arial"/>
                <w:sz w:val="20"/>
                <w:szCs w:val="20"/>
                <w:lang w:val="pt-BR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pt-BR"/>
              </w:rPr>
              <w:t xml:space="preserve">A pesquisa de mercado foi realizada </w:t>
            </w:r>
            <w:r>
              <w:rPr>
                <w:rFonts w:hint="default" w:ascii="Arial" w:hAnsi="Arial" w:eastAsia="sans-serif" w:cs="Arial"/>
                <w:i w:val="0"/>
                <w:iCs w:val="0"/>
                <w:caps w:val="0"/>
                <w:spacing w:val="0"/>
                <w:sz w:val="20"/>
                <w:szCs w:val="20"/>
                <w:shd w:val="clear" w:color="auto" w:fill="FFFFFF"/>
              </w:rPr>
              <w:t xml:space="preserve">conforme </w:t>
            </w:r>
            <w:r>
              <w:rPr>
                <w:rFonts w:hint="default" w:ascii="Arial" w:hAnsi="Arial" w:eastAsia="sans-serif" w:cs="Arial"/>
                <w:i w:val="0"/>
                <w:iCs w:val="0"/>
                <w:caps w:val="0"/>
                <w:spacing w:val="0"/>
                <w:sz w:val="20"/>
                <w:szCs w:val="20"/>
                <w:shd w:val="clear" w:color="auto" w:fill="FFFFFF"/>
                <w:lang w:val="pt-BR"/>
              </w:rPr>
              <w:t>documentos anexos</w:t>
            </w:r>
            <w:r>
              <w:rPr>
                <w:rFonts w:hint="default" w:ascii="Arial" w:hAnsi="Arial" w:eastAsia="sans-serif" w:cs="Arial"/>
                <w:i w:val="0"/>
                <w:iCs w:val="0"/>
                <w:caps w:val="0"/>
                <w:spacing w:val="0"/>
                <w:sz w:val="20"/>
                <w:szCs w:val="20"/>
                <w:shd w:val="clear" w:color="auto" w:fill="FFFFFF"/>
              </w:rPr>
              <w:t xml:space="preserve"> ao processo</w:t>
            </w:r>
            <w:r>
              <w:rPr>
                <w:rFonts w:hint="default" w:ascii="Arial" w:hAnsi="Arial" w:eastAsia="sans-serif" w:cs="Arial"/>
                <w:i w:val="0"/>
                <w:iCs w:val="0"/>
                <w:caps w:val="0"/>
                <w:spacing w:val="0"/>
                <w:sz w:val="20"/>
                <w:szCs w:val="20"/>
                <w:shd w:val="clear" w:color="auto" w:fill="FFFFFF"/>
                <w:lang w:val="pt-BR"/>
              </w:rPr>
              <w:t>. A escolha dos fornecedores foi baseada nas empresas que já realizaram contratos com a SES e demais fornecedores reconhecidos no mercado da região.</w:t>
            </w:r>
          </w:p>
          <w:p w14:paraId="6FAB811A">
            <w:pPr>
              <w:spacing w:line="276" w:lineRule="auto"/>
              <w:ind w:left="196" w:right="165"/>
              <w:jc w:val="both"/>
              <w:rPr>
                <w:rFonts w:ascii="Arial" w:hAnsi="Arial" w:cs="Arial"/>
                <w:b/>
              </w:rPr>
            </w:pPr>
          </w:p>
        </w:tc>
      </w:tr>
      <w:tr w14:paraId="3113C98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jc w:val="center"/>
        </w:trPr>
        <w:tc>
          <w:tcPr>
            <w:tcW w:w="9570" w:type="dxa"/>
            <w:tcBorders>
              <w:top w:val="single" w:color="000000" w:sz="4" w:space="0"/>
              <w:bottom w:val="single" w:color="000000" w:sz="4" w:space="0"/>
            </w:tcBorders>
            <w:shd w:val="clear" w:color="auto" w:fill="000000"/>
            <w:noWrap w:val="0"/>
            <w:vAlign w:val="top"/>
          </w:tcPr>
          <w:p w14:paraId="0068F0D4">
            <w:pPr>
              <w:numPr>
                <w:ilvl w:val="0"/>
                <w:numId w:val="2"/>
              </w:numPr>
              <w:spacing w:line="276" w:lineRule="auto"/>
              <w:ind w:left="425" w:leftChars="0" w:right="165" w:hanging="425" w:firstLineChars="0"/>
              <w:jc w:val="both"/>
              <w:rPr>
                <w:rFonts w:hint="default" w:ascii="Arial" w:hAnsi="Arial" w:cs="Arial"/>
                <w:b/>
                <w:lang w:val="pt-BR"/>
              </w:rPr>
            </w:pPr>
            <w:r>
              <w:rPr>
                <w:rFonts w:hint="default" w:ascii="Arial" w:hAnsi="Arial" w:cs="Arial"/>
                <w:b/>
                <w:lang w:val="pt-BR"/>
              </w:rPr>
              <w:t>Comparativo das soluções</w:t>
            </w:r>
          </w:p>
        </w:tc>
      </w:tr>
      <w:tr w14:paraId="1DDA308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jc w:val="center"/>
        </w:trPr>
        <w:tc>
          <w:tcPr>
            <w:tcW w:w="9570" w:type="dxa"/>
            <w:tcBorders>
              <w:top w:val="single" w:color="000000" w:sz="4" w:space="0"/>
              <w:bottom w:val="single" w:color="000000" w:sz="4" w:space="0"/>
            </w:tcBorders>
            <w:noWrap w:val="0"/>
            <w:vAlign w:val="top"/>
          </w:tcPr>
          <w:p w14:paraId="13CCDB76">
            <w:pPr>
              <w:spacing w:line="276" w:lineRule="auto"/>
              <w:ind w:left="200" w:leftChars="100" w:right="165" w:firstLine="0" w:firstLineChars="0"/>
              <w:jc w:val="both"/>
              <w:rPr>
                <w:rFonts w:hint="default" w:ascii="Arial" w:hAnsi="Arial" w:cs="Arial"/>
                <w:b w:val="0"/>
                <w:bCs w:val="0"/>
                <w:color w:val="auto"/>
                <w:sz w:val="20"/>
                <w:szCs w:val="20"/>
                <w:lang w:val="pt-BR"/>
              </w:rPr>
            </w:pPr>
          </w:p>
          <w:p w14:paraId="63FFD461">
            <w:pPr>
              <w:spacing w:line="276" w:lineRule="auto"/>
              <w:ind w:left="200" w:leftChars="100" w:right="165" w:firstLine="0" w:firstLineChars="0"/>
              <w:jc w:val="both"/>
              <w:rPr>
                <w:rFonts w:hint="default" w:ascii="Arial" w:hAnsi="Arial" w:cs="Arial"/>
                <w:b w:val="0"/>
                <w:bCs w:val="0"/>
                <w:color w:val="auto"/>
                <w:sz w:val="20"/>
                <w:szCs w:val="20"/>
                <w:lang w:val="pt-BR"/>
              </w:rPr>
            </w:pPr>
            <w:r>
              <w:rPr>
                <w:rFonts w:hint="default" w:ascii="Arial" w:hAnsi="Arial" w:cs="Arial"/>
                <w:b w:val="0"/>
                <w:bCs w:val="0"/>
                <w:color w:val="auto"/>
                <w:sz w:val="20"/>
                <w:szCs w:val="20"/>
                <w:lang w:val="pt-BR"/>
              </w:rPr>
              <w:t>Com base no levantamento mercadológico, não foram encontradas outras soluções para atendimento da necessidade</w:t>
            </w:r>
            <w:r>
              <w:rPr>
                <w:rFonts w:hint="default" w:ascii="Arial" w:hAnsi="Arial" w:cs="Arial"/>
                <w:b w:val="0"/>
                <w:bCs w:val="0"/>
                <w:color w:val="auto"/>
                <w:sz w:val="20"/>
                <w:szCs w:val="20"/>
              </w:rPr>
              <w:t xml:space="preserve"> apresentada</w:t>
            </w:r>
            <w:r>
              <w:rPr>
                <w:rFonts w:hint="default" w:ascii="Arial" w:hAnsi="Arial" w:cs="Arial"/>
                <w:b w:val="0"/>
                <w:bCs w:val="0"/>
                <w:color w:val="auto"/>
                <w:sz w:val="20"/>
                <w:szCs w:val="20"/>
                <w:lang w:val="pt-BR"/>
              </w:rPr>
              <w:t>, além da aquisição por meio de compra direta.</w:t>
            </w:r>
          </w:p>
          <w:p w14:paraId="4FE99BA4">
            <w:pPr>
              <w:numPr>
                <w:ilvl w:val="0"/>
                <w:numId w:val="0"/>
              </w:numPr>
              <w:spacing w:line="276" w:lineRule="auto"/>
              <w:ind w:leftChars="0" w:right="165" w:rightChars="0"/>
              <w:jc w:val="both"/>
              <w:rPr>
                <w:rFonts w:hint="default" w:ascii="Arial" w:hAnsi="Arial" w:cs="Arial"/>
                <w:b/>
                <w:lang w:val="pt-BR"/>
              </w:rPr>
            </w:pPr>
          </w:p>
        </w:tc>
      </w:tr>
    </w:tbl>
    <w:p w14:paraId="4137655B">
      <w:pPr>
        <w:spacing w:line="276" w:lineRule="auto"/>
        <w:rPr>
          <w:rFonts w:ascii="Arial" w:hAnsi="Arial" w:eastAsia="Cambria" w:cs="Arial"/>
          <w:b/>
          <w:iCs/>
        </w:rPr>
      </w:pPr>
    </w:p>
    <w:p w14:paraId="4C6E7CD0">
      <w:pPr>
        <w:spacing w:line="360" w:lineRule="auto"/>
        <w:rPr>
          <w:rFonts w:ascii="Arial" w:hAnsi="Arial" w:eastAsia="Cambria" w:cs="Arial"/>
          <w:b/>
          <w:iCs/>
        </w:rPr>
      </w:pPr>
    </w:p>
    <w:tbl>
      <w:tblPr>
        <w:tblStyle w:val="7"/>
        <w:tblW w:w="9570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shd w:val="clear" w:color="auto" w:fill="365F91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70"/>
      </w:tblGrid>
      <w:tr w14:paraId="765C98B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jc w:val="center"/>
        </w:trPr>
        <w:tc>
          <w:tcPr>
            <w:tcW w:w="9570" w:type="dxa"/>
            <w:shd w:val="clear" w:color="auto" w:fill="000000"/>
            <w:noWrap w:val="0"/>
            <w:vAlign w:val="top"/>
          </w:tcPr>
          <w:p w14:paraId="4C2F0C70">
            <w:pPr>
              <w:rPr>
                <w:rFonts w:ascii="Arial" w:hAnsi="Arial" w:cs="Arial"/>
                <w:b/>
                <w:color w:val="FFFFFF"/>
              </w:rPr>
            </w:pPr>
            <w:r>
              <w:rPr>
                <w:rFonts w:ascii="Arial" w:hAnsi="Arial" w:cs="Arial"/>
                <w:b/>
                <w:color w:val="FFFFFF"/>
              </w:rPr>
              <w:t xml:space="preserve">IV – SOLUÇÃO ESCOLHIDA </w:t>
            </w:r>
          </w:p>
        </w:tc>
      </w:tr>
    </w:tbl>
    <w:p w14:paraId="67257986">
      <w:pPr>
        <w:spacing w:line="360" w:lineRule="auto"/>
        <w:rPr>
          <w:rFonts w:ascii="Arial" w:hAnsi="Arial" w:eastAsia="Cambria" w:cs="Arial"/>
          <w:b/>
          <w:iCs/>
        </w:rPr>
      </w:pPr>
    </w:p>
    <w:tbl>
      <w:tblPr>
        <w:tblStyle w:val="7"/>
        <w:tblW w:w="9570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70"/>
      </w:tblGrid>
      <w:tr w14:paraId="69C1DBB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570" w:type="dxa"/>
            <w:tcBorders>
              <w:top w:val="single" w:color="000000" w:sz="4" w:space="0"/>
            </w:tcBorders>
            <w:shd w:val="clear" w:color="auto" w:fill="000000"/>
            <w:noWrap w:val="0"/>
            <w:vAlign w:val="top"/>
          </w:tcPr>
          <w:p w14:paraId="6DBD90C6">
            <w:pPr>
              <w:pStyle w:val="36"/>
              <w:numPr>
                <w:ilvl w:val="0"/>
                <w:numId w:val="2"/>
              </w:num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000000"/>
              <w:ind w:left="425" w:leftChars="0" w:right="165" w:rightChars="0" w:hanging="425" w:firstLineChars="0"/>
              <w:jc w:val="both"/>
              <w:rPr>
                <w:rFonts w:ascii="Arial" w:hAnsi="Arial" w:cs="Arial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FFFFFF"/>
                <w:sz w:val="20"/>
                <w:szCs w:val="20"/>
              </w:rPr>
              <w:t>Descrição da solução (art. 18, § 1º, VII, da Lei Federal nº 14.133, de 2021)</w:t>
            </w:r>
          </w:p>
        </w:tc>
      </w:tr>
      <w:tr w14:paraId="60D8FCE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570" w:type="dxa"/>
            <w:tcBorders>
              <w:top w:val="single" w:color="000000" w:sz="4" w:space="0"/>
            </w:tcBorders>
            <w:noWrap w:val="0"/>
            <w:vAlign w:val="top"/>
          </w:tcPr>
          <w:p w14:paraId="586CA262">
            <w:pPr>
              <w:ind w:right="165"/>
              <w:rPr>
                <w:rFonts w:ascii="Arial" w:hAnsi="Arial" w:cs="Arial"/>
              </w:rPr>
            </w:pPr>
          </w:p>
          <w:p w14:paraId="41E05BD0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200" w:leftChars="100" w:right="165" w:rightChars="0" w:firstLine="0" w:firstLineChars="0"/>
              <w:jc w:val="both"/>
              <w:textAlignment w:val="auto"/>
              <w:rPr>
                <w:rFonts w:ascii="Arial" w:hAnsi="Arial" w:cs="Arial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default" w:ascii="Arial" w:hAnsi="Arial" w:cs="Arial"/>
                <w:b w:val="0"/>
                <w:bCs/>
                <w:color w:val="auto"/>
                <w:sz w:val="20"/>
                <w:szCs w:val="20"/>
                <w:lang w:val="pt-BR"/>
              </w:rPr>
              <w:t xml:space="preserve">A </w:t>
            </w:r>
            <w:r>
              <w:rPr>
                <w:rFonts w:ascii="Arial" w:hAnsi="Arial" w:cs="Arial"/>
                <w:b w:val="0"/>
                <w:bCs/>
                <w:color w:val="auto"/>
                <w:sz w:val="20"/>
                <w:szCs w:val="20"/>
              </w:rPr>
              <w:t xml:space="preserve">aquisição dos bens de consumo </w:t>
            </w:r>
            <w:r>
              <w:rPr>
                <w:rFonts w:hint="default" w:ascii="Arial" w:hAnsi="Arial" w:cs="Arial"/>
                <w:b w:val="0"/>
                <w:bCs/>
                <w:color w:val="auto"/>
                <w:sz w:val="20"/>
                <w:szCs w:val="20"/>
                <w:lang w:val="pt-BR"/>
              </w:rPr>
              <w:t>ocorrerá por meio de Compra Direta, considerando a emergencialidade da normalização do abastecimento da Unidade Hospitalar</w:t>
            </w:r>
            <w:r>
              <w:rPr>
                <w:rFonts w:ascii="Arial" w:hAnsi="Arial" w:cs="Arial"/>
                <w:b w:val="0"/>
                <w:bCs/>
                <w:color w:val="auto"/>
                <w:sz w:val="20"/>
                <w:szCs w:val="20"/>
              </w:rPr>
              <w:t xml:space="preserve">. </w:t>
            </w:r>
          </w:p>
          <w:p w14:paraId="7008E614">
            <w:pPr>
              <w:pStyle w:val="37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200" w:leftChars="100" w:firstLine="0" w:firstLineChars="0"/>
              <w:jc w:val="both"/>
              <w:textAlignment w:val="auto"/>
              <w:rPr>
                <w:rFonts w:hint="default" w:ascii="Arial" w:hAnsi="Arial" w:cs="Arial"/>
                <w:b w:val="0"/>
                <w:bCs/>
                <w:color w:val="auto"/>
                <w:sz w:val="20"/>
                <w:szCs w:val="20"/>
                <w:lang w:val="pt-BR"/>
              </w:rPr>
            </w:pPr>
          </w:p>
          <w:p w14:paraId="5EBD01C7">
            <w:pPr>
              <w:pStyle w:val="37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200" w:leftChars="100" w:right="152" w:rightChars="76" w:firstLine="0" w:firstLineChars="0"/>
              <w:jc w:val="both"/>
              <w:textAlignment w:val="auto"/>
              <w:rPr>
                <w:rFonts w:hint="default" w:ascii="Arial" w:hAnsi="Arial" w:eastAsia="Arial MT" w:cs="Arial"/>
                <w:b w:val="0"/>
                <w:bCs/>
                <w:color w:val="auto"/>
                <w:sz w:val="20"/>
                <w:szCs w:val="20"/>
                <w:lang w:val="pt-BR" w:eastAsia="en-US"/>
              </w:rPr>
            </w:pPr>
            <w:r>
              <w:rPr>
                <w:rFonts w:hint="default" w:ascii="Arial" w:hAnsi="Arial" w:cs="Arial"/>
                <w:b w:val="0"/>
                <w:bCs/>
                <w:color w:val="auto"/>
                <w:sz w:val="20"/>
                <w:szCs w:val="20"/>
                <w:lang w:val="pt-BR"/>
              </w:rPr>
              <w:t>A contratação se dará</w:t>
            </w:r>
            <w:r>
              <w:rPr>
                <w:rFonts w:ascii="Arial" w:hAnsi="Arial" w:cs="Arial"/>
                <w:b w:val="0"/>
                <w:bCs/>
                <w:color w:val="auto"/>
                <w:sz w:val="20"/>
                <w:szCs w:val="20"/>
              </w:rPr>
              <w:t xml:space="preserve"> </w:t>
            </w:r>
            <w:r>
              <w:rPr>
                <w:rFonts w:hint="default" w:ascii="Arial" w:hAnsi="Arial" w:cs="Arial"/>
                <w:b w:val="0"/>
                <w:bCs/>
                <w:color w:val="auto"/>
                <w:sz w:val="20"/>
                <w:szCs w:val="20"/>
                <w:lang w:val="pt-BR"/>
              </w:rPr>
              <w:t>por</w:t>
            </w:r>
            <w:r>
              <w:rPr>
                <w:rFonts w:ascii="Arial" w:hAnsi="Arial" w:cs="Arial"/>
                <w:b w:val="0"/>
                <w:bCs/>
                <w:color w:val="auto"/>
                <w:sz w:val="20"/>
                <w:szCs w:val="20"/>
              </w:rPr>
              <w:t xml:space="preserve"> </w:t>
            </w:r>
            <w:r>
              <w:rPr>
                <w:rFonts w:hint="default" w:ascii="Arial" w:hAnsi="Arial" w:cs="Arial"/>
                <w:b w:val="0"/>
                <w:bCs/>
                <w:color w:val="auto"/>
                <w:sz w:val="20"/>
                <w:szCs w:val="20"/>
                <w:lang w:val="pt-BR"/>
              </w:rPr>
              <w:t>Contrato de Fornecimento, com regime de consignação e entrega parcelada pelo período de 180 dias,</w:t>
            </w:r>
            <w:r>
              <w:rPr>
                <w:rFonts w:ascii="Arial" w:hAnsi="Arial" w:cs="Arial"/>
                <w:b w:val="0"/>
                <w:bCs/>
                <w:color w:val="auto"/>
                <w:sz w:val="20"/>
                <w:szCs w:val="20"/>
              </w:rPr>
              <w:t xml:space="preserve"> </w:t>
            </w:r>
            <w:r>
              <w:rPr>
                <w:rFonts w:hint="default" w:ascii="Arial" w:hAnsi="Arial" w:cs="Arial"/>
                <w:b w:val="0"/>
                <w:bCs/>
                <w:color w:val="auto"/>
                <w:sz w:val="20"/>
                <w:szCs w:val="20"/>
                <w:lang w:val="pt-BR"/>
              </w:rPr>
              <w:t>permitindo</w:t>
            </w:r>
            <w:r>
              <w:rPr>
                <w:rFonts w:ascii="Arial" w:hAnsi="Arial" w:cs="Arial"/>
                <w:b w:val="0"/>
                <w:bCs/>
                <w:color w:val="auto"/>
                <w:sz w:val="20"/>
                <w:szCs w:val="20"/>
              </w:rPr>
              <w:t xml:space="preserve"> maior flexibilização das demandas</w:t>
            </w:r>
            <w:r>
              <w:rPr>
                <w:rFonts w:hint="default" w:ascii="Arial" w:hAnsi="Arial" w:cs="Arial"/>
                <w:b w:val="0"/>
                <w:bCs/>
                <w:color w:val="auto"/>
                <w:sz w:val="20"/>
                <w:szCs w:val="20"/>
                <w:lang w:val="pt-BR"/>
              </w:rPr>
              <w:t xml:space="preserve"> </w:t>
            </w:r>
            <w:r>
              <w:rPr>
                <w:rFonts w:ascii="Arial" w:hAnsi="Arial" w:cs="Arial"/>
                <w:b w:val="0"/>
                <w:bCs/>
                <w:color w:val="auto"/>
                <w:sz w:val="20"/>
                <w:szCs w:val="20"/>
              </w:rPr>
              <w:t>e disponibilidade orçamentária.</w:t>
            </w:r>
          </w:p>
          <w:p w14:paraId="7EC7FC1C">
            <w:pPr>
              <w:pStyle w:val="37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Chars="0"/>
              <w:jc w:val="both"/>
              <w:textAlignment w:val="auto"/>
              <w:rPr>
                <w:rFonts w:hint="default" w:ascii="Arial" w:hAnsi="Arial" w:eastAsia="Arial MT" w:cs="Arial"/>
                <w:b w:val="0"/>
                <w:bCs/>
                <w:color w:val="auto"/>
                <w:sz w:val="22"/>
                <w:szCs w:val="22"/>
                <w:lang w:val="pt-BR" w:eastAsia="en-US"/>
              </w:rPr>
            </w:pPr>
          </w:p>
          <w:p w14:paraId="4C506E83">
            <w:pPr>
              <w:ind w:right="165"/>
              <w:rPr>
                <w:rFonts w:ascii="Arial" w:hAnsi="Arial" w:cs="Arial"/>
              </w:rPr>
            </w:pPr>
          </w:p>
        </w:tc>
      </w:tr>
      <w:tr w14:paraId="7CBB21D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570" w:type="dxa"/>
            <w:tcBorders>
              <w:top w:val="single" w:color="000000" w:sz="4" w:space="0"/>
            </w:tcBorders>
            <w:shd w:val="clear" w:color="auto" w:fill="000000"/>
            <w:noWrap w:val="0"/>
            <w:vAlign w:val="top"/>
          </w:tcPr>
          <w:p w14:paraId="57CC0712">
            <w:pPr>
              <w:pStyle w:val="36"/>
              <w:numPr>
                <w:ilvl w:val="0"/>
                <w:numId w:val="2"/>
              </w:numPr>
              <w:ind w:left="425" w:leftChars="0" w:hanging="425" w:firstLineChars="0"/>
              <w:rPr>
                <w:rFonts w:ascii="Arial" w:hAnsi="Arial" w:cs="Arial"/>
                <w:b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FFFFFF"/>
                <w:sz w:val="20"/>
                <w:szCs w:val="20"/>
              </w:rPr>
              <w:t>Justificativas para o parcelamento ou não da contratação (art. 18, § 1º, VIII, da Lei Federal nº 14.133, de 2021)</w:t>
            </w:r>
            <w:r>
              <w:rPr>
                <w:rFonts w:hint="default" w:ascii="Arial" w:hAnsi="Arial" w:cs="Arial"/>
                <w:b/>
                <w:bCs/>
                <w:color w:val="FFFFFF"/>
                <w:sz w:val="20"/>
                <w:szCs w:val="20"/>
                <w:lang w:val="pt-BR"/>
              </w:rPr>
              <w:t xml:space="preserve"> e atendimento aos princípios do parcelamento, </w:t>
            </w:r>
            <w:r>
              <w:rPr>
                <w:rFonts w:hint="default" w:ascii="Arial" w:hAnsi="Arial"/>
                <w:b/>
                <w:bCs/>
                <w:color w:val="FFFFFF"/>
                <w:sz w:val="20"/>
                <w:szCs w:val="20"/>
                <w:lang w:val="pt-BR"/>
              </w:rPr>
              <w:t xml:space="preserve">quando for tecnicamente viável e economicamente vantajoso (art. 40, V, alínea b, </w:t>
            </w:r>
            <w:r>
              <w:rPr>
                <w:rFonts w:ascii="Arial" w:hAnsi="Arial" w:cs="Arial"/>
                <w:b/>
                <w:bCs/>
                <w:color w:val="FFFFFF"/>
                <w:sz w:val="20"/>
                <w:szCs w:val="20"/>
              </w:rPr>
              <w:t xml:space="preserve">§ </w:t>
            </w:r>
            <w:r>
              <w:rPr>
                <w:rFonts w:hint="default" w:ascii="Arial" w:hAnsi="Arial" w:cs="Arial"/>
                <w:b/>
                <w:bCs/>
                <w:color w:val="FFFFFF"/>
                <w:sz w:val="20"/>
                <w:szCs w:val="20"/>
                <w:lang w:val="pt-BR"/>
              </w:rPr>
              <w:t>2</w:t>
            </w:r>
            <w:r>
              <w:rPr>
                <w:rFonts w:ascii="Arial" w:hAnsi="Arial" w:cs="Arial"/>
                <w:b/>
                <w:bCs/>
                <w:color w:val="FFFFFF"/>
                <w:sz w:val="20"/>
                <w:szCs w:val="20"/>
              </w:rPr>
              <w:t>º</w:t>
            </w:r>
            <w:r>
              <w:rPr>
                <w:rFonts w:hint="default" w:ascii="Arial" w:hAnsi="Arial" w:cs="Arial"/>
                <w:b/>
                <w:bCs/>
                <w:color w:val="FFFFFF"/>
                <w:sz w:val="20"/>
                <w:szCs w:val="20"/>
                <w:lang w:val="pt-BR"/>
              </w:rPr>
              <w:t xml:space="preserve"> e 3º, </w:t>
            </w:r>
            <w:r>
              <w:rPr>
                <w:rFonts w:ascii="Arial" w:hAnsi="Arial" w:cs="Arial"/>
                <w:b/>
                <w:bCs/>
                <w:color w:val="FFFFFF"/>
                <w:sz w:val="20"/>
                <w:szCs w:val="20"/>
              </w:rPr>
              <w:t>da Lei Federal nº 14.133, de 2021</w:t>
            </w:r>
            <w:r>
              <w:rPr>
                <w:rFonts w:hint="default" w:ascii="Arial" w:hAnsi="Arial" w:cs="Arial"/>
                <w:b/>
                <w:bCs/>
                <w:color w:val="FFFFFF"/>
                <w:sz w:val="20"/>
                <w:szCs w:val="20"/>
                <w:lang w:val="pt-BR"/>
              </w:rPr>
              <w:t>)</w:t>
            </w:r>
          </w:p>
        </w:tc>
      </w:tr>
      <w:tr w14:paraId="0EEF5ED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570" w:type="dxa"/>
            <w:tcBorders>
              <w:top w:val="single" w:color="000000" w:sz="4" w:space="0"/>
              <w:bottom w:val="single" w:color="000000" w:sz="4" w:space="0"/>
            </w:tcBorders>
            <w:noWrap w:val="0"/>
            <w:vAlign w:val="top"/>
          </w:tcPr>
          <w:p w14:paraId="7006D96F">
            <w:pPr>
              <w:spacing w:line="276" w:lineRule="auto"/>
              <w:ind w:left="259" w:right="165"/>
              <w:jc w:val="both"/>
              <w:rPr>
                <w:rFonts w:ascii="Arial" w:hAnsi="Arial" w:cs="Arial"/>
                <w:color w:val="FF0000"/>
              </w:rPr>
            </w:pPr>
          </w:p>
          <w:p w14:paraId="5756C9FC">
            <w:pPr>
              <w:spacing w:line="276" w:lineRule="auto"/>
              <w:ind w:left="259" w:right="165"/>
              <w:jc w:val="both"/>
              <w:rPr>
                <w:rFonts w:ascii="Arial" w:hAnsi="Arial" w:cs="Arial"/>
                <w:color w:val="FF0000"/>
              </w:rPr>
            </w:pPr>
          </w:p>
          <w:p w14:paraId="67337601">
            <w:pPr>
              <w:spacing w:line="276" w:lineRule="auto"/>
              <w:ind w:left="259" w:right="165"/>
              <w:jc w:val="both"/>
              <w:rPr>
                <w:rFonts w:hint="default" w:ascii="Arial" w:hAnsi="Arial" w:cs="Arial"/>
                <w:i/>
                <w:iCs/>
                <w:color w:val="FF0000"/>
                <w:highlight w:val="yellow"/>
                <w:lang w:val="pt-BR"/>
              </w:rPr>
            </w:pPr>
            <w:r>
              <w:rPr>
                <w:rFonts w:hint="default" w:ascii="Arial" w:hAnsi="Arial" w:cs="Arial"/>
                <w:i/>
                <w:iCs/>
                <w:color w:val="FF0000"/>
                <w:highlight w:val="yellow"/>
                <w:lang w:val="pt-BR"/>
              </w:rPr>
              <w:t>[</w:t>
            </w:r>
            <w:r>
              <w:rPr>
                <w:rFonts w:ascii="Arial" w:hAnsi="Arial" w:cs="Arial"/>
                <w:i/>
                <w:iCs/>
                <w:color w:val="FF0000"/>
                <w:highlight w:val="yellow"/>
              </w:rPr>
              <w:t>SEM LOTE</w:t>
            </w:r>
            <w:r>
              <w:rPr>
                <w:rFonts w:hint="default" w:ascii="Arial" w:hAnsi="Arial" w:cs="Arial"/>
                <w:i/>
                <w:iCs/>
                <w:color w:val="FF0000"/>
                <w:highlight w:val="yellow"/>
                <w:lang w:val="pt-BR"/>
              </w:rPr>
              <w:t>]</w:t>
            </w:r>
          </w:p>
          <w:p w14:paraId="4D714473">
            <w:pPr>
              <w:spacing w:line="276" w:lineRule="auto"/>
              <w:ind w:left="259" w:right="165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  <w:highlight w:val="yellow"/>
              </w:rPr>
              <w:t>Em exame da natureza dos itens que se pretende adquirir com este processo, não se verifica quaisquer especificidades que venham exigir seu agrupamento, devendo prevalecer a regra geral de parcelamento como forma de garantir a ampla concorrência.</w:t>
            </w:r>
          </w:p>
          <w:p w14:paraId="553752DF">
            <w:pPr>
              <w:spacing w:line="276" w:lineRule="auto"/>
              <w:ind w:left="259" w:right="165"/>
              <w:jc w:val="both"/>
              <w:rPr>
                <w:rFonts w:ascii="Arial" w:hAnsi="Arial" w:cs="Arial"/>
                <w:highlight w:val="yellow"/>
              </w:rPr>
            </w:pPr>
          </w:p>
          <w:p w14:paraId="21CB5C6D">
            <w:pPr>
              <w:spacing w:line="276" w:lineRule="auto"/>
              <w:ind w:left="259" w:right="165"/>
              <w:jc w:val="both"/>
              <w:rPr>
                <w:rFonts w:hint="default" w:ascii="Arial" w:hAnsi="Arial" w:cs="Arial"/>
                <w:i/>
                <w:iCs/>
                <w:highlight w:val="yellow"/>
                <w:lang w:val="pt-BR"/>
              </w:rPr>
            </w:pPr>
            <w:r>
              <w:rPr>
                <w:rFonts w:hint="default" w:ascii="Arial" w:hAnsi="Arial" w:cs="Arial"/>
                <w:i/>
                <w:iCs/>
                <w:color w:val="FF0000"/>
                <w:highlight w:val="yellow"/>
                <w:lang w:val="pt-BR"/>
              </w:rPr>
              <w:t>[</w:t>
            </w:r>
            <w:r>
              <w:rPr>
                <w:rFonts w:ascii="Arial" w:hAnsi="Arial" w:cs="Arial"/>
                <w:i/>
                <w:iCs/>
                <w:color w:val="FF0000"/>
                <w:highlight w:val="yellow"/>
              </w:rPr>
              <w:t>EM LOTE</w:t>
            </w:r>
            <w:r>
              <w:rPr>
                <w:rFonts w:hint="default" w:ascii="Arial" w:hAnsi="Arial" w:cs="Arial"/>
                <w:i/>
                <w:iCs/>
                <w:color w:val="FF0000"/>
                <w:highlight w:val="yellow"/>
                <w:lang w:val="pt-BR"/>
              </w:rPr>
              <w:t>]</w:t>
            </w:r>
          </w:p>
          <w:p w14:paraId="37D821E3">
            <w:pPr>
              <w:spacing w:line="276" w:lineRule="auto"/>
              <w:ind w:left="259" w:right="165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highlight w:val="yellow"/>
              </w:rPr>
              <w:t>Em exame da natureza dos itens que se pretende adquirir com este processo, é necessário seu agrupamento, tendo em vista que os itens são complementares e um único item não é suficiente para o atendimento da demanda.</w:t>
            </w:r>
          </w:p>
          <w:p w14:paraId="7338127F">
            <w:pPr>
              <w:spacing w:line="276" w:lineRule="auto"/>
              <w:ind w:left="259" w:right="165"/>
              <w:jc w:val="both"/>
              <w:rPr>
                <w:rFonts w:ascii="Arial" w:hAnsi="Arial" w:cs="Arial"/>
              </w:rPr>
            </w:pPr>
          </w:p>
          <w:p w14:paraId="2B61AE2E">
            <w:pPr>
              <w:spacing w:line="276" w:lineRule="auto"/>
              <w:ind w:left="259" w:right="165"/>
              <w:jc w:val="both"/>
              <w:rPr>
                <w:rFonts w:ascii="Arial" w:hAnsi="Arial" w:cs="Arial"/>
                <w:b/>
                <w:color w:val="FF0000"/>
              </w:rPr>
            </w:pPr>
          </w:p>
        </w:tc>
      </w:tr>
      <w:tr w14:paraId="1AC74A5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570" w:type="dxa"/>
            <w:tcBorders>
              <w:top w:val="single" w:color="000000" w:sz="4" w:space="0"/>
            </w:tcBorders>
            <w:shd w:val="clear" w:color="auto" w:fill="000000"/>
            <w:noWrap w:val="0"/>
            <w:vAlign w:val="top"/>
          </w:tcPr>
          <w:p w14:paraId="5825E6A0">
            <w:pPr>
              <w:pStyle w:val="36"/>
              <w:numPr>
                <w:ilvl w:val="0"/>
                <w:numId w:val="2"/>
              </w:numPr>
              <w:spacing w:line="276" w:lineRule="auto"/>
              <w:ind w:left="425" w:leftChars="0" w:right="307" w:rightChars="0" w:hanging="425" w:firstLineChars="0"/>
              <w:jc w:val="both"/>
              <w:rPr>
                <w:rFonts w:ascii="Arial" w:hAnsi="Arial" w:cs="Arial"/>
                <w:b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FFFFFF"/>
                <w:sz w:val="20"/>
                <w:szCs w:val="20"/>
              </w:rPr>
              <w:t>Contratações correlatas e/ou interdependentes (art. 18, § 1º, XI, da Lei Federal nº 14.133, de 2021)</w:t>
            </w:r>
          </w:p>
        </w:tc>
      </w:tr>
      <w:tr w14:paraId="0D843D8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570" w:type="dxa"/>
            <w:tcBorders>
              <w:top w:val="single" w:color="000000" w:sz="4" w:space="0"/>
              <w:bottom w:val="single" w:color="000000" w:sz="4" w:space="0"/>
            </w:tcBorders>
            <w:noWrap w:val="0"/>
            <w:vAlign w:val="top"/>
          </w:tcPr>
          <w:p w14:paraId="52A4E802">
            <w:pPr>
              <w:spacing w:after="120" w:line="276" w:lineRule="auto"/>
              <w:ind w:left="196" w:right="165"/>
              <w:jc w:val="both"/>
              <w:rPr>
                <w:rFonts w:ascii="Arial" w:hAnsi="Arial" w:cs="Arial"/>
              </w:rPr>
            </w:pPr>
          </w:p>
          <w:p w14:paraId="37324078">
            <w:pPr>
              <w:spacing w:after="57" w:line="276" w:lineRule="auto"/>
              <w:ind w:left="196" w:right="165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Para esta aquisição não há aquisições/contratações que guardam relação/afinidade/dependência com o objeto da compra/contratação pretendida, sejam elas já realizadas ou contratações futuras.</w:t>
            </w:r>
          </w:p>
          <w:p w14:paraId="2D88662D">
            <w:pPr>
              <w:spacing w:after="120" w:line="276" w:lineRule="auto"/>
              <w:ind w:left="196" w:right="165"/>
              <w:jc w:val="both"/>
              <w:rPr>
                <w:rFonts w:ascii="Arial" w:hAnsi="Arial" w:cs="Arial"/>
              </w:rPr>
            </w:pPr>
          </w:p>
        </w:tc>
      </w:tr>
      <w:tr w14:paraId="6BB5BBD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570" w:type="dxa"/>
            <w:tcBorders>
              <w:top w:val="single" w:color="000000" w:sz="4" w:space="0"/>
            </w:tcBorders>
            <w:shd w:val="clear" w:color="auto" w:fill="000000"/>
            <w:noWrap w:val="0"/>
            <w:vAlign w:val="top"/>
          </w:tcPr>
          <w:p w14:paraId="36E2BF4C">
            <w:pPr>
              <w:pStyle w:val="36"/>
              <w:numPr>
                <w:ilvl w:val="0"/>
                <w:numId w:val="2"/>
              </w:numPr>
              <w:ind w:left="425" w:leftChars="0" w:hanging="425" w:firstLineChars="0"/>
              <w:rPr>
                <w:rFonts w:ascii="Arial" w:hAnsi="Arial" w:cs="Arial"/>
                <w:b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FFFFFF"/>
                <w:sz w:val="20"/>
                <w:szCs w:val="20"/>
              </w:rPr>
              <w:t>Providências a serem adotadas pela Administração previamente à celebração do contrato (art. 18, § 1º, X, da Lei Federal nº 14.133, de 2021)</w:t>
            </w:r>
          </w:p>
        </w:tc>
      </w:tr>
      <w:tr w14:paraId="59BC651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570" w:type="dxa"/>
            <w:tcBorders>
              <w:top w:val="single" w:color="000000" w:sz="4" w:space="0"/>
              <w:bottom w:val="single" w:color="000000" w:sz="4" w:space="0"/>
            </w:tcBorders>
            <w:noWrap w:val="0"/>
            <w:vAlign w:val="top"/>
          </w:tcPr>
          <w:p w14:paraId="2A7C39F0">
            <w:pPr>
              <w:spacing w:after="120" w:line="276" w:lineRule="auto"/>
              <w:ind w:left="196" w:right="165"/>
              <w:jc w:val="both"/>
              <w:rPr>
                <w:rFonts w:ascii="Arial" w:hAnsi="Arial" w:cs="Arial"/>
              </w:rPr>
            </w:pPr>
          </w:p>
          <w:p w14:paraId="3759F8BD">
            <w:pPr>
              <w:spacing w:line="276" w:lineRule="auto"/>
              <w:ind w:left="196" w:right="165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Para a plenitude da solução contratada, não se aplica condições prévias à celebração do contrato. </w:t>
            </w:r>
          </w:p>
          <w:p w14:paraId="3D2598EA">
            <w:pPr>
              <w:spacing w:after="120" w:line="276" w:lineRule="auto"/>
              <w:ind w:left="196" w:right="165"/>
              <w:jc w:val="both"/>
              <w:rPr>
                <w:rFonts w:ascii="Arial" w:hAnsi="Arial" w:cs="Arial"/>
              </w:rPr>
            </w:pPr>
          </w:p>
        </w:tc>
      </w:tr>
      <w:tr w14:paraId="5EE45C4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570" w:type="dxa"/>
            <w:tcBorders>
              <w:top w:val="single" w:color="000000" w:sz="4" w:space="0"/>
            </w:tcBorders>
            <w:shd w:val="clear" w:color="auto" w:fill="000000"/>
            <w:noWrap w:val="0"/>
            <w:vAlign w:val="top"/>
          </w:tcPr>
          <w:p w14:paraId="5EFA6524">
            <w:pPr>
              <w:pStyle w:val="36"/>
              <w:numPr>
                <w:ilvl w:val="0"/>
                <w:numId w:val="2"/>
              </w:num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pacing w:line="276" w:lineRule="auto"/>
              <w:ind w:left="425" w:leftChars="0" w:right="165" w:rightChars="0" w:hanging="425" w:firstLineChars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Possíveis impactos ambientais e respectivas medidas mitigadoras (art. 18, § 1º, XII, da Lei Federal nº 14.133, de 2021)</w:t>
            </w:r>
          </w:p>
        </w:tc>
      </w:tr>
      <w:tr w14:paraId="4E03D1D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570" w:type="dxa"/>
            <w:tcBorders>
              <w:top w:val="single" w:color="000000" w:sz="4" w:space="0"/>
            </w:tcBorders>
            <w:noWrap w:val="0"/>
            <w:vAlign w:val="top"/>
          </w:tcPr>
          <w:p w14:paraId="3C3BA862">
            <w:pPr>
              <w:rPr>
                <w:rFonts w:ascii="Arial" w:hAnsi="Arial" w:cs="Arial"/>
              </w:rPr>
            </w:pPr>
          </w:p>
          <w:p w14:paraId="31C51633">
            <w:pPr>
              <w:spacing w:after="57" w:line="276" w:lineRule="auto"/>
              <w:ind w:left="259" w:right="165"/>
              <w:jc w:val="both"/>
              <w:rPr>
                <w:rFonts w:ascii="Arial" w:hAnsi="Arial" w:cs="Arial"/>
              </w:rPr>
            </w:pPr>
          </w:p>
          <w:p w14:paraId="795DDEE5">
            <w:pPr>
              <w:spacing w:after="57" w:line="276" w:lineRule="auto"/>
              <w:ind w:left="259" w:right="165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Dada a natureza do objeto que se pretende adquirir, não se verificam riscos ambientais relevantes, visto que o cuidado com os resíduos e o descarte dos mesmos ocorre através de empresa contratada para o mesmo. </w:t>
            </w:r>
          </w:p>
          <w:p w14:paraId="43CF80D2">
            <w:pPr>
              <w:rPr>
                <w:rFonts w:ascii="Arial" w:hAnsi="Arial" w:cs="Arial"/>
              </w:rPr>
            </w:pPr>
          </w:p>
          <w:p w14:paraId="671EEB2D">
            <w:pPr>
              <w:rPr>
                <w:rFonts w:ascii="Arial" w:hAnsi="Arial" w:cs="Arial"/>
              </w:rPr>
            </w:pPr>
          </w:p>
        </w:tc>
      </w:tr>
      <w:tr w14:paraId="77C2876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570" w:type="dxa"/>
            <w:tcBorders>
              <w:top w:val="single" w:color="000000" w:sz="4" w:space="0"/>
            </w:tcBorders>
            <w:shd w:val="clear" w:color="auto" w:fill="000000"/>
            <w:noWrap w:val="0"/>
            <w:vAlign w:val="top"/>
          </w:tcPr>
          <w:p w14:paraId="517ADE85">
            <w:pPr>
              <w:pStyle w:val="36"/>
              <w:numPr>
                <w:ilvl w:val="0"/>
                <w:numId w:val="2"/>
              </w:numPr>
              <w:ind w:left="425" w:leftChars="0" w:hanging="425" w:firstLineChars="0"/>
              <w:rPr>
                <w:rFonts w:ascii="Arial" w:hAnsi="Arial" w:cs="Arial"/>
                <w:b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FFFFFF"/>
                <w:sz w:val="20"/>
                <w:szCs w:val="20"/>
              </w:rPr>
              <w:t>Resultados pretendidos (art. 18, § 1º, IX, da Lei Federal nº 14.133, de 2021)</w:t>
            </w:r>
          </w:p>
        </w:tc>
      </w:tr>
      <w:tr w14:paraId="6CAF923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570" w:type="dxa"/>
            <w:tcBorders>
              <w:top w:val="single" w:color="000000" w:sz="4" w:space="0"/>
              <w:bottom w:val="single" w:color="000000" w:sz="4" w:space="0"/>
            </w:tcBorders>
            <w:noWrap w:val="0"/>
            <w:vAlign w:val="top"/>
          </w:tcPr>
          <w:p w14:paraId="522089B0">
            <w:pPr>
              <w:spacing w:after="120"/>
              <w:ind w:left="196" w:right="-33"/>
              <w:jc w:val="both"/>
              <w:rPr>
                <w:rFonts w:ascii="Arial" w:hAnsi="Arial" w:cs="Arial"/>
              </w:rPr>
            </w:pPr>
          </w:p>
          <w:p w14:paraId="6159E6ED">
            <w:pPr>
              <w:spacing w:line="276" w:lineRule="auto"/>
              <w:ind w:left="259" w:right="165"/>
              <w:jc w:val="both"/>
              <w:rPr>
                <w:rFonts w:ascii="Arial" w:hAnsi="Arial" w:cs="Arial"/>
                <w:highlight w:val="none"/>
              </w:rPr>
            </w:pPr>
            <w:r>
              <w:rPr>
                <w:rFonts w:ascii="Arial" w:hAnsi="Arial" w:cs="Arial"/>
              </w:rPr>
              <w:t xml:space="preserve">A contratação do objeto nas quantidades estimadas irá atender as demandas de </w:t>
            </w:r>
            <w:r>
              <w:rPr>
                <w:rFonts w:hint="default" w:ascii="Arial" w:hAnsi="Arial" w:cs="Arial"/>
                <w:lang w:val="pt-BR"/>
              </w:rPr>
              <w:t>OPM</w:t>
            </w:r>
            <w:r>
              <w:rPr>
                <w:rFonts w:hint="default" w:ascii="Arial" w:hAnsi="Arial" w:cs="Arial"/>
                <w:highlight w:val="none"/>
                <w:lang w:val="pt-BR"/>
              </w:rPr>
              <w:t>E</w:t>
            </w:r>
            <w:r>
              <w:rPr>
                <w:rFonts w:ascii="Arial" w:hAnsi="Arial" w:cs="Arial"/>
                <w:highlight w:val="none"/>
              </w:rPr>
              <w:t xml:space="preserve"> </w:t>
            </w:r>
            <w:r>
              <w:rPr>
                <w:rFonts w:hint="default" w:ascii="Arial" w:hAnsi="Arial" w:cs="Arial"/>
                <w:highlight w:val="none"/>
                <w:lang w:val="pt-BR"/>
              </w:rPr>
              <w:t>da Unidade Hospitalar</w:t>
            </w:r>
            <w:r>
              <w:rPr>
                <w:rFonts w:ascii="Arial" w:hAnsi="Arial" w:cs="Arial"/>
                <w:highlight w:val="none"/>
              </w:rPr>
              <w:t xml:space="preserve"> </w:t>
            </w:r>
            <w:r>
              <w:rPr>
                <w:rFonts w:hint="default" w:ascii="Arial" w:hAnsi="Arial" w:cs="Arial"/>
                <w:highlight w:val="none"/>
                <w:lang w:val="pt-BR"/>
              </w:rPr>
              <w:t>no período de 180 dias</w:t>
            </w:r>
            <w:r>
              <w:rPr>
                <w:rFonts w:ascii="Arial" w:hAnsi="Arial" w:cs="Arial"/>
                <w:highlight w:val="none"/>
              </w:rPr>
              <w:t xml:space="preserve">, conforme sustentadas no planejamento </w:t>
            </w:r>
            <w:r>
              <w:rPr>
                <w:rFonts w:hint="default" w:ascii="Arial" w:hAnsi="Arial" w:cs="Arial"/>
                <w:highlight w:val="none"/>
                <w:lang w:val="pt-BR"/>
              </w:rPr>
              <w:t>anual</w:t>
            </w:r>
            <w:r>
              <w:rPr>
                <w:rFonts w:ascii="Arial" w:hAnsi="Arial" w:cs="Arial"/>
                <w:highlight w:val="none"/>
              </w:rPr>
              <w:t xml:space="preserve"> </w:t>
            </w:r>
            <w:r>
              <w:rPr>
                <w:rFonts w:ascii="Arial" w:hAnsi="Arial" w:cs="Arial"/>
                <w:highlight w:val="yellow"/>
              </w:rPr>
              <w:t xml:space="preserve">(Processo SES número </w:t>
            </w:r>
            <w:r>
              <w:rPr>
                <w:rFonts w:hint="default" w:ascii="Arial" w:hAnsi="Arial" w:cs="Arial"/>
                <w:highlight w:val="yellow"/>
                <w:lang w:val="pt-BR"/>
              </w:rPr>
              <w:t>128162/2024 - HGCR, 128143/2024 - ICSC, 128153/2024 - HRHDS, 128183/2024 - HRSJ, 128191/2024 - HIJG, 128206/2024 - HDWC, 128197/2024 - HGMTR, 128217/2024 - MCD e 128286/2024 - HNR</w:t>
            </w:r>
            <w:r>
              <w:rPr>
                <w:rFonts w:ascii="Arial" w:hAnsi="Arial" w:cs="Arial"/>
                <w:highlight w:val="yellow"/>
              </w:rPr>
              <w:t>)</w:t>
            </w:r>
            <w:r>
              <w:rPr>
                <w:rFonts w:ascii="Arial" w:hAnsi="Arial" w:cs="Arial"/>
                <w:highlight w:val="none"/>
              </w:rPr>
              <w:t>.</w:t>
            </w:r>
          </w:p>
          <w:p w14:paraId="082A0BC2">
            <w:pPr>
              <w:spacing w:line="276" w:lineRule="auto"/>
              <w:ind w:left="259" w:right="165"/>
              <w:jc w:val="both"/>
              <w:rPr>
                <w:rFonts w:ascii="Arial" w:hAnsi="Arial" w:cs="Arial"/>
                <w:highlight w:val="none"/>
              </w:rPr>
            </w:pPr>
          </w:p>
        </w:tc>
      </w:tr>
      <w:tr w14:paraId="6371F6F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570" w:type="dxa"/>
            <w:tcBorders>
              <w:top w:val="single" w:color="000000" w:sz="4" w:space="0"/>
            </w:tcBorders>
            <w:shd w:val="clear" w:color="auto" w:fill="000000"/>
            <w:noWrap w:val="0"/>
            <w:vAlign w:val="top"/>
          </w:tcPr>
          <w:p w14:paraId="5F436399">
            <w:pPr>
              <w:pStyle w:val="36"/>
              <w:numPr>
                <w:ilvl w:val="0"/>
                <w:numId w:val="2"/>
              </w:numPr>
              <w:ind w:left="425" w:leftChars="0" w:hanging="425" w:firstLineChars="0"/>
              <w:rPr>
                <w:rFonts w:ascii="Arial" w:hAnsi="Arial" w:cs="Arial"/>
                <w:b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FFFFFF"/>
                <w:sz w:val="20"/>
                <w:szCs w:val="20"/>
              </w:rPr>
              <w:t>Posicionamento conclusivo sobre a adequação da contratação para o atendimento da necessidade a que se destina (art. 18, § 1º, XIII, da Lei Federal nº 14.133, de 2021)</w:t>
            </w:r>
          </w:p>
        </w:tc>
      </w:tr>
      <w:tr w14:paraId="2C15031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570" w:type="dxa"/>
            <w:tcBorders>
              <w:top w:val="single" w:color="000000" w:sz="4" w:space="0"/>
              <w:bottom w:val="single" w:color="000000" w:sz="4" w:space="0"/>
            </w:tcBorders>
            <w:noWrap w:val="0"/>
            <w:vAlign w:val="top"/>
          </w:tcPr>
          <w:p w14:paraId="4F5AEE24">
            <w:pPr>
              <w:spacing w:line="276" w:lineRule="auto"/>
              <w:ind w:left="196" w:right="165"/>
              <w:rPr>
                <w:rFonts w:ascii="Arial" w:hAnsi="Arial" w:cs="Arial"/>
              </w:rPr>
            </w:pPr>
          </w:p>
          <w:p w14:paraId="60ED253A">
            <w:pPr>
              <w:spacing w:line="276" w:lineRule="auto"/>
              <w:ind w:left="196" w:right="165"/>
              <w:rPr>
                <w:rFonts w:ascii="Arial" w:hAnsi="Arial" w:cs="Arial"/>
              </w:rPr>
            </w:pPr>
          </w:p>
          <w:p w14:paraId="061145AE">
            <w:pPr>
              <w:spacing w:line="276" w:lineRule="auto"/>
              <w:ind w:left="196" w:right="165"/>
              <w:rPr>
                <w:rFonts w:ascii="Arial" w:hAnsi="Arial" w:cs="Arial"/>
              </w:rPr>
            </w:pPr>
            <w:r>
              <w:rPr>
                <w:rFonts w:hint="default" w:ascii="Arial" w:hAnsi="Arial" w:cs="Arial"/>
                <w:highlight w:val="none"/>
                <w:lang w:val="pt-BR"/>
              </w:rPr>
              <w:t>Conforme exposto ne</w:t>
            </w:r>
            <w:r>
              <w:rPr>
                <w:rFonts w:ascii="Arial" w:hAnsi="Arial" w:cs="Arial"/>
                <w:highlight w:val="none"/>
              </w:rPr>
              <w:t>ste Estudo Técnico Preliminar</w:t>
            </w:r>
            <w:r>
              <w:rPr>
                <w:rFonts w:hint="default" w:ascii="Arial" w:hAnsi="Arial" w:cs="Arial"/>
                <w:highlight w:val="none"/>
                <w:lang w:val="pt-BR"/>
              </w:rPr>
              <w:t xml:space="preserve">, a contratação da solução escolhida mostra-se necessária para resolver a demanda apresentada. Os valores e os quantitativos estão previstos no plano anual de compras, demonstrando ser uma aquisição economicamente viável; já a contratação da proposta, com o objetivo de </w:t>
            </w:r>
            <w:r>
              <w:rPr>
                <w:rFonts w:ascii="Arial" w:hAnsi="Arial" w:cs="Arial"/>
                <w:highlight w:val="none"/>
              </w:rPr>
              <w:t xml:space="preserve">atender as demandas de </w:t>
            </w:r>
            <w:r>
              <w:rPr>
                <w:rFonts w:hint="default" w:ascii="Arial" w:hAnsi="Arial" w:cs="Arial"/>
                <w:highlight w:val="none"/>
                <w:lang w:val="pt-BR"/>
              </w:rPr>
              <w:t>OPME</w:t>
            </w:r>
            <w:r>
              <w:rPr>
                <w:rFonts w:ascii="Arial" w:hAnsi="Arial" w:cs="Arial"/>
                <w:highlight w:val="none"/>
              </w:rPr>
              <w:t xml:space="preserve"> das unidades SES nos próximos </w:t>
            </w:r>
            <w:r>
              <w:rPr>
                <w:rFonts w:hint="default" w:ascii="Arial" w:hAnsi="Arial" w:cs="Arial"/>
                <w:highlight w:val="none"/>
                <w:lang w:val="pt-BR"/>
              </w:rPr>
              <w:t>180 dias, demonstra ser uma solução tecnicamente viável.</w:t>
            </w:r>
            <w:r>
              <w:rPr>
                <w:rFonts w:ascii="Arial" w:hAnsi="Arial" w:cs="Arial"/>
                <w:highlight w:val="none"/>
              </w:rPr>
              <w:t xml:space="preserve"> </w:t>
            </w:r>
            <w:r>
              <w:rPr>
                <w:rFonts w:ascii="Arial" w:hAnsi="Arial" w:cs="Arial"/>
              </w:rPr>
              <w:t xml:space="preserve"> </w:t>
            </w:r>
          </w:p>
          <w:p w14:paraId="64A3FE34">
            <w:pPr>
              <w:spacing w:after="120"/>
              <w:ind w:left="196" w:right="-33"/>
              <w:jc w:val="both"/>
              <w:rPr>
                <w:rFonts w:ascii="Arial" w:hAnsi="Arial" w:cs="Arial"/>
                <w:color w:val="FF0000"/>
              </w:rPr>
            </w:pPr>
          </w:p>
        </w:tc>
      </w:tr>
    </w:tbl>
    <w:p w14:paraId="7988ECBF">
      <w:pPr>
        <w:spacing w:line="360" w:lineRule="auto"/>
        <w:jc w:val="both"/>
        <w:rPr>
          <w:rFonts w:ascii="Arial" w:hAnsi="Arial" w:cs="Arial"/>
        </w:rPr>
      </w:pPr>
    </w:p>
    <w:sectPr>
      <w:footerReference r:id="rId3" w:type="default"/>
      <w:pgSz w:w="12240" w:h="15840"/>
      <w:pgMar w:top="1134" w:right="1134" w:bottom="1560" w:left="1701" w:header="720" w:footer="720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SimHei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Garamond">
    <w:panose1 w:val="02020404030301010803"/>
    <w:charset w:val="00"/>
    <w:family w:val="roman"/>
    <w:pitch w:val="default"/>
    <w:sig w:usb0="00000287" w:usb1="00000000" w:usb2="00000000" w:usb3="00000000" w:csb0="0000009F" w:csb1="DFD70000"/>
  </w:font>
  <w:font w:name="Mangal">
    <w:altName w:val="Liberation Mono"/>
    <w:panose1 w:val="00000400000000000000"/>
    <w:charset w:val="01"/>
    <w:family w:val="roman"/>
    <w:pitch w:val="default"/>
    <w:sig w:usb0="00002000" w:usb1="00000000" w:usb2="00000000" w:usb3="00000000" w:csb0="00000000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Liberation Sans">
    <w:panose1 w:val="020B0604020202020204"/>
    <w:charset w:val="00"/>
    <w:family w:val="swiss"/>
    <w:pitch w:val="default"/>
    <w:sig w:usb0="E0000AFF" w:usb1="500078FF" w:usb2="00000021" w:usb3="00000000" w:csb0="600001BF" w:csb1="DFF70000"/>
  </w:font>
  <w:font w:name="Microsoft YaHei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sans-serif">
    <w:altName w:val="Liberation Mono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Arial MT">
    <w:altName w:val="Arial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Liberation Mono">
    <w:panose1 w:val="02070409020205020404"/>
    <w:charset w:val="00"/>
    <w:family w:val="auto"/>
    <w:pitch w:val="default"/>
    <w:sig w:usb0="E0000AFF" w:usb1="400078FF" w:usb2="00000001" w:usb3="00000000" w:csb0="600001BF" w:csb1="DFF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8E1DE8F">
    <w:pPr>
      <w:pStyle w:val="13"/>
      <w:wordWrap w:val="0"/>
      <w:jc w:val="right"/>
      <w:rPr>
        <w:rFonts w:hint="default" w:ascii="Arial" w:hAnsi="Arial" w:cs="Arial"/>
        <w:color w:val="auto"/>
        <w:sz w:val="10"/>
        <w:szCs w:val="10"/>
        <w:lang w:val="pt-BR"/>
      </w:rPr>
    </w:pPr>
    <w:r>
      <w:rPr>
        <w:rFonts w:hint="default" w:ascii="Arial" w:hAnsi="Arial" w:cs="Arial"/>
        <w:color w:val="auto"/>
        <w:sz w:val="10"/>
        <w:szCs w:val="10"/>
        <w:lang w:val="pt-BR"/>
      </w:rPr>
      <w:t>ETP CONTRATO OPME</w:t>
    </w:r>
  </w:p>
  <w:p w14:paraId="0073B585">
    <w:pPr>
      <w:pStyle w:val="13"/>
      <w:jc w:val="right"/>
      <w:rPr>
        <w:rFonts w:hint="default" w:ascii="Arial" w:hAnsi="Arial" w:cs="Arial"/>
        <w:color w:val="auto"/>
        <w:sz w:val="10"/>
        <w:szCs w:val="10"/>
        <w:lang w:val="pt-BR"/>
      </w:rPr>
    </w:pPr>
    <w:r>
      <w:rPr>
        <w:rFonts w:hint="default" w:ascii="Arial" w:hAnsi="Arial" w:cs="Arial"/>
        <w:color w:val="auto"/>
        <w:sz w:val="10"/>
        <w:szCs w:val="10"/>
        <w:lang w:val="pt-BR"/>
      </w:rPr>
      <w:t>Versão: Julho/2024</w: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001"/>
    <w:multiLevelType w:val="multilevel"/>
    <w:tmpl w:val="00000001"/>
    <w:lvl w:ilvl="0" w:tentative="0">
      <w:start w:val="1"/>
      <w:numFmt w:val="none"/>
      <w:pStyle w:val="2"/>
      <w:suff w:val="nothing"/>
      <w:lvlText w:val=""/>
      <w:lvlJc w:val="left"/>
      <w:pPr>
        <w:tabs>
          <w:tab w:val="left" w:pos="0"/>
        </w:tabs>
        <w:ind w:left="0" w:firstLine="0"/>
      </w:pPr>
    </w:lvl>
    <w:lvl w:ilvl="1" w:tentative="0">
      <w:start w:val="1"/>
      <w:numFmt w:val="none"/>
      <w:pStyle w:val="3"/>
      <w:suff w:val="nothing"/>
      <w:lvlText w:val=""/>
      <w:lvlJc w:val="left"/>
      <w:pPr>
        <w:tabs>
          <w:tab w:val="left" w:pos="0"/>
        </w:tabs>
        <w:ind w:left="0" w:firstLine="0"/>
      </w:pPr>
    </w:lvl>
    <w:lvl w:ilvl="2" w:tentative="0">
      <w:start w:val="1"/>
      <w:numFmt w:val="none"/>
      <w:pStyle w:val="4"/>
      <w:suff w:val="nothing"/>
      <w:lvlText w:val=""/>
      <w:lvlJc w:val="left"/>
      <w:pPr>
        <w:tabs>
          <w:tab w:val="left" w:pos="0"/>
        </w:tabs>
        <w:ind w:left="0" w:firstLine="0"/>
      </w:pPr>
    </w:lvl>
    <w:lvl w:ilvl="3" w:tentative="0">
      <w:start w:val="1"/>
      <w:numFmt w:val="none"/>
      <w:pStyle w:val="5"/>
      <w:suff w:val="nothing"/>
      <w:lvlText w:val=""/>
      <w:lvlJc w:val="left"/>
      <w:pPr>
        <w:tabs>
          <w:tab w:val="left" w:pos="0"/>
        </w:tabs>
        <w:ind w:left="0" w:firstLine="0"/>
      </w:pPr>
    </w:lvl>
    <w:lvl w:ilvl="4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5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6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7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8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</w:abstractNum>
  <w:abstractNum w:abstractNumId="1">
    <w:nsid w:val="6A49D001"/>
    <w:multiLevelType w:val="singleLevel"/>
    <w:tmpl w:val="6A49D001"/>
    <w:lvl w:ilvl="0" w:tentative="0">
      <w:start w:val="1"/>
      <w:numFmt w:val="decimal"/>
      <w:lvlText w:val="%1."/>
      <w:lvlJc w:val="left"/>
      <w:pPr>
        <w:tabs>
          <w:tab w:val="left" w:pos="425"/>
        </w:tabs>
        <w:ind w:left="425" w:hanging="425"/>
      </w:pPr>
      <w:rPr>
        <w:rFonts w:hint="default" w:ascii="Arial" w:hAnsi="Arial" w:cs="Arial"/>
        <w:b/>
        <w:bCs/>
        <w:sz w:val="20"/>
        <w:szCs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displayBackgroundShape w:val="1"/>
  <w:bordersDoNotSurroundHeader w:val="0"/>
  <w:bordersDoNotSurroundFooter w:val="0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attachedTemplate r:id="rId1"/>
  <w:documentProtection w:enforcement="0"/>
  <w:defaultTabStop w:val="720"/>
  <w:hyphenationZone w:val="360"/>
  <w:drawingGridHorizontalSpacing w:val="0"/>
  <w:drawingGridVerticalSpacing w:val="0"/>
  <w:displayHorizontalDrawingGridEvery w:val="0"/>
  <w:displayVerticalDrawingGridEvery w:val="0"/>
  <w:doNotUseMarginsForDrawingGridOrigin w:val="1"/>
  <w:drawingGridHorizontalOrigin w:val="0"/>
  <w:drawingGridVerticalOrigin w:val="0"/>
  <w:noPunctuationKerning w:val="1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62DE"/>
    <w:rsid w:val="000277A7"/>
    <w:rsid w:val="000B3988"/>
    <w:rsid w:val="000C099B"/>
    <w:rsid w:val="000D023C"/>
    <w:rsid w:val="00152EC2"/>
    <w:rsid w:val="001941EE"/>
    <w:rsid w:val="001A2994"/>
    <w:rsid w:val="00210659"/>
    <w:rsid w:val="002A63FD"/>
    <w:rsid w:val="0030674C"/>
    <w:rsid w:val="00531328"/>
    <w:rsid w:val="00554709"/>
    <w:rsid w:val="00571A6C"/>
    <w:rsid w:val="007B6D5F"/>
    <w:rsid w:val="007C7C57"/>
    <w:rsid w:val="007D7282"/>
    <w:rsid w:val="00865242"/>
    <w:rsid w:val="00897B44"/>
    <w:rsid w:val="00930E2E"/>
    <w:rsid w:val="00955CD7"/>
    <w:rsid w:val="009C6FBE"/>
    <w:rsid w:val="009D04D3"/>
    <w:rsid w:val="00A213B9"/>
    <w:rsid w:val="00AE75C0"/>
    <w:rsid w:val="00B3610E"/>
    <w:rsid w:val="00C054F9"/>
    <w:rsid w:val="00C762DE"/>
    <w:rsid w:val="00CF72E2"/>
    <w:rsid w:val="00DD0D9C"/>
    <w:rsid w:val="00E30602"/>
    <w:rsid w:val="00F35DF4"/>
    <w:rsid w:val="00F35E83"/>
    <w:rsid w:val="00FC4B85"/>
    <w:rsid w:val="00FC7FF0"/>
    <w:rsid w:val="04F230AD"/>
    <w:rsid w:val="094F0479"/>
    <w:rsid w:val="10956472"/>
    <w:rsid w:val="10A07063"/>
    <w:rsid w:val="11F803FE"/>
    <w:rsid w:val="173A02E7"/>
    <w:rsid w:val="20C03493"/>
    <w:rsid w:val="233B7D00"/>
    <w:rsid w:val="2AA35CE0"/>
    <w:rsid w:val="31F11DAE"/>
    <w:rsid w:val="48B83B87"/>
    <w:rsid w:val="52796BAF"/>
    <w:rsid w:val="5E441514"/>
    <w:rsid w:val="61AA63D0"/>
    <w:rsid w:val="7F453E20"/>
    <w:rsid w:val="7FD211F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/>
    <o:shapelayout v:ext="edit">
      <o:idmap v:ext="edit" data="1"/>
    </o:shapelayout>
  </w:shapeDefaults>
  <w:doNotEmbedSmartTag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Times New Roma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nhideWhenUsed="0" w:uiPriority="0" w:semiHidden="0" w:name="header"/>
    <w:lsdException w:uiPriority="99" w:semiHidden="0" w:name="footer"/>
    <w:lsdException w:uiPriority="99" w:name="index heading"/>
    <w:lsdException w:qFormat="1" w:unhideWhenUsed="0" w:uiPriority="0" w:semiHidden="0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semiHidden="0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nhideWhenUsed="0" w:uiPriority="0" w:semiHidden="0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nhideWhenUsed="0" w:uiPriority="0" w:semiHidden="0" w:name="Balloon Text"/>
    <w:lsdException w:unhideWhenUsed="0" w:uiPriority="39" w:semiHidden="0" w:name="Table Grid"/>
    <w:lsdException w:uiPriority="99" w:name="Table Theme"/>
    <w:lsdException w:qFormat="1" w:unhideWhenUsed="0" w:uiPriority="34" w:semiHidden="0" w:name="List Paragraph"/>
  </w:latentStyles>
  <w:style w:type="paragraph" w:default="1" w:styleId="1">
    <w:name w:val="Normal"/>
    <w:qFormat/>
    <w:uiPriority w:val="0"/>
    <w:pPr>
      <w:suppressAutoHyphens/>
    </w:pPr>
    <w:rPr>
      <w:lang w:val="pt-BR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numPr>
        <w:ilvl w:val="0"/>
        <w:numId w:val="1"/>
      </w:numPr>
      <w:jc w:val="center"/>
      <w:outlineLvl w:val="0"/>
    </w:pPr>
    <w:rPr>
      <w:b/>
      <w:sz w:val="26"/>
    </w:rPr>
  </w:style>
  <w:style w:type="paragraph" w:styleId="3">
    <w:name w:val="heading 2"/>
    <w:basedOn w:val="1"/>
    <w:next w:val="1"/>
    <w:qFormat/>
    <w:uiPriority w:val="0"/>
    <w:pPr>
      <w:keepNext/>
      <w:numPr>
        <w:ilvl w:val="1"/>
        <w:numId w:val="1"/>
      </w:numPr>
      <w:jc w:val="both"/>
      <w:outlineLvl w:val="1"/>
    </w:pPr>
    <w:rPr>
      <w:b/>
      <w:sz w:val="22"/>
    </w:rPr>
  </w:style>
  <w:style w:type="paragraph" w:styleId="4">
    <w:name w:val="heading 3"/>
    <w:basedOn w:val="1"/>
    <w:next w:val="1"/>
    <w:qFormat/>
    <w:uiPriority w:val="0"/>
    <w:pPr>
      <w:keepNext/>
      <w:numPr>
        <w:ilvl w:val="2"/>
        <w:numId w:val="1"/>
      </w:numPr>
      <w:pBdr>
        <w:top w:val="single" w:color="000000" w:sz="4" w:space="1"/>
        <w:left w:val="single" w:color="000000" w:sz="4" w:space="4"/>
        <w:bottom w:val="single" w:color="000000" w:sz="4" w:space="1"/>
        <w:right w:val="single" w:color="000000" w:sz="4" w:space="4"/>
      </w:pBdr>
      <w:jc w:val="both"/>
      <w:outlineLvl w:val="2"/>
    </w:pPr>
    <w:rPr>
      <w:rFonts w:ascii="Garamond" w:hAnsi="Garamond" w:cs="Garamond"/>
      <w:b/>
      <w:sz w:val="24"/>
    </w:rPr>
  </w:style>
  <w:style w:type="paragraph" w:styleId="5">
    <w:name w:val="heading 4"/>
    <w:basedOn w:val="1"/>
    <w:next w:val="1"/>
    <w:qFormat/>
    <w:uiPriority w:val="0"/>
    <w:pPr>
      <w:keepNext/>
      <w:numPr>
        <w:ilvl w:val="3"/>
        <w:numId w:val="1"/>
      </w:numPr>
      <w:outlineLvl w:val="3"/>
    </w:pPr>
    <w:rPr>
      <w:rFonts w:ascii="Garamond" w:hAnsi="Garamond" w:cs="Garamond"/>
      <w:b/>
      <w:caps/>
    </w:rPr>
  </w:style>
  <w:style w:type="character" w:default="1" w:styleId="6">
    <w:name w:val="Default Paragraph Font"/>
    <w:unhideWhenUsed/>
    <w:uiPriority w:val="1"/>
  </w:style>
  <w:style w:type="table" w:default="1" w:styleId="7">
    <w:name w:val="Normal Table"/>
    <w:unhideWhenUsed/>
    <w:uiPriority w:val="99"/>
    <w:tblPr>
      <w:tblStyle w:val="7"/>
      <w:tblCellMar>
        <w:top w:w="0" w:type="dxa"/>
        <w:left w:w="108" w:type="dxa"/>
        <w:bottom w:w="0" w:type="dxa"/>
        <w:right w:w="108" w:type="dxa"/>
      </w:tblCellMar>
    </w:tblPr>
  </w:style>
  <w:style w:type="character" w:styleId="8">
    <w:name w:val="annotation reference"/>
    <w:unhideWhenUsed/>
    <w:uiPriority w:val="99"/>
    <w:rPr>
      <w:sz w:val="16"/>
      <w:szCs w:val="16"/>
    </w:rPr>
  </w:style>
  <w:style w:type="paragraph" w:styleId="9">
    <w:name w:val="List"/>
    <w:basedOn w:val="10"/>
    <w:uiPriority w:val="0"/>
    <w:rPr>
      <w:rFonts w:cs="Mangal"/>
    </w:rPr>
  </w:style>
  <w:style w:type="paragraph" w:styleId="10">
    <w:name w:val="Body Text"/>
    <w:basedOn w:val="1"/>
    <w:uiPriority w:val="0"/>
    <w:pPr>
      <w:pBdr>
        <w:top w:val="single" w:color="000000" w:sz="4" w:space="1"/>
        <w:left w:val="single" w:color="000000" w:sz="4" w:space="4"/>
        <w:bottom w:val="single" w:color="000000" w:sz="4" w:space="1"/>
        <w:right w:val="single" w:color="000000" w:sz="4" w:space="4"/>
      </w:pBdr>
      <w:jc w:val="both"/>
    </w:pPr>
    <w:rPr>
      <w:rFonts w:ascii="Garamond" w:hAnsi="Garamond" w:cs="Garamond"/>
      <w:b/>
    </w:rPr>
  </w:style>
  <w:style w:type="paragraph" w:styleId="11">
    <w:name w:val="Normal (Web)"/>
    <w:basedOn w:val="1"/>
    <w:uiPriority w:val="0"/>
    <w:pPr>
      <w:suppressAutoHyphens w:val="0"/>
      <w:spacing w:before="100" w:after="100"/>
    </w:pPr>
    <w:rPr>
      <w:sz w:val="24"/>
      <w:szCs w:val="24"/>
    </w:rPr>
  </w:style>
  <w:style w:type="paragraph" w:styleId="12">
    <w:name w:val="header"/>
    <w:basedOn w:val="1"/>
    <w:uiPriority w:val="0"/>
    <w:pPr>
      <w:tabs>
        <w:tab w:val="center" w:pos="4320"/>
        <w:tab w:val="right" w:pos="8640"/>
      </w:tabs>
    </w:pPr>
  </w:style>
  <w:style w:type="paragraph" w:styleId="13">
    <w:name w:val="footer"/>
    <w:basedOn w:val="1"/>
    <w:unhideWhenUsed/>
    <w:uiPriority w:val="99"/>
    <w:pPr>
      <w:tabs>
        <w:tab w:val="center" w:pos="4252"/>
        <w:tab w:val="right" w:pos="8504"/>
      </w:tabs>
    </w:pPr>
  </w:style>
  <w:style w:type="paragraph" w:styleId="14">
    <w:name w:val="caption"/>
    <w:basedOn w:val="1"/>
    <w:qFormat/>
    <w:uiPriority w:val="0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15">
    <w:name w:val="Balloon Text"/>
    <w:basedOn w:val="1"/>
    <w:uiPriority w:val="0"/>
    <w:rPr>
      <w:rFonts w:ascii="Tahoma" w:hAnsi="Tahoma" w:cs="Tahoma"/>
      <w:sz w:val="16"/>
      <w:szCs w:val="16"/>
    </w:rPr>
  </w:style>
  <w:style w:type="paragraph" w:styleId="16">
    <w:name w:val="Body Text Indent"/>
    <w:basedOn w:val="1"/>
    <w:uiPriority w:val="0"/>
    <w:pPr>
      <w:ind w:left="0" w:right="0" w:firstLine="709"/>
      <w:jc w:val="both"/>
    </w:pPr>
    <w:rPr>
      <w:rFonts w:ascii="Garamond" w:hAnsi="Garamond" w:cs="Garamond"/>
      <w:sz w:val="24"/>
    </w:rPr>
  </w:style>
  <w:style w:type="character" w:customStyle="1" w:styleId="17">
    <w:name w:val="WW8Num1z0"/>
    <w:uiPriority w:val="0"/>
  </w:style>
  <w:style w:type="character" w:customStyle="1" w:styleId="18">
    <w:name w:val="WW8Num1z1"/>
    <w:uiPriority w:val="0"/>
  </w:style>
  <w:style w:type="character" w:customStyle="1" w:styleId="19">
    <w:name w:val="WW8Num1z2"/>
    <w:uiPriority w:val="0"/>
  </w:style>
  <w:style w:type="character" w:customStyle="1" w:styleId="20">
    <w:name w:val="WW8Num1z3"/>
    <w:uiPriority w:val="0"/>
  </w:style>
  <w:style w:type="character" w:customStyle="1" w:styleId="21">
    <w:name w:val="WW8Num1z4"/>
    <w:uiPriority w:val="0"/>
  </w:style>
  <w:style w:type="character" w:customStyle="1" w:styleId="22">
    <w:name w:val="WW8Num1z5"/>
    <w:uiPriority w:val="0"/>
  </w:style>
  <w:style w:type="character" w:customStyle="1" w:styleId="23">
    <w:name w:val="WW8Num1z6"/>
    <w:uiPriority w:val="0"/>
  </w:style>
  <w:style w:type="character" w:customStyle="1" w:styleId="24">
    <w:name w:val="WW8Num1z7"/>
    <w:uiPriority w:val="0"/>
  </w:style>
  <w:style w:type="character" w:customStyle="1" w:styleId="25">
    <w:name w:val="WW8Num1z8"/>
    <w:uiPriority w:val="0"/>
  </w:style>
  <w:style w:type="character" w:customStyle="1" w:styleId="26">
    <w:name w:val="Fonte parág. padrão2"/>
    <w:uiPriority w:val="0"/>
  </w:style>
  <w:style w:type="character" w:customStyle="1" w:styleId="27">
    <w:name w:val="Fonte parág. padrão1"/>
    <w:uiPriority w:val="0"/>
  </w:style>
  <w:style w:type="character" w:customStyle="1" w:styleId="28">
    <w:name w:val="Recuo de corpo de texto Char"/>
    <w:uiPriority w:val="0"/>
    <w:rPr>
      <w:rFonts w:ascii="Garamond" w:hAnsi="Garamond" w:cs="Garamond"/>
      <w:sz w:val="24"/>
    </w:rPr>
  </w:style>
  <w:style w:type="character" w:customStyle="1" w:styleId="29">
    <w:name w:val="Texto de balão Char"/>
    <w:uiPriority w:val="0"/>
    <w:rPr>
      <w:rFonts w:ascii="Tahoma" w:hAnsi="Tahoma" w:cs="Tahoma"/>
      <w:sz w:val="16"/>
      <w:szCs w:val="16"/>
    </w:rPr>
  </w:style>
  <w:style w:type="character" w:customStyle="1" w:styleId="30">
    <w:name w:val="Título 1 Char"/>
    <w:uiPriority w:val="0"/>
    <w:rPr>
      <w:b/>
      <w:sz w:val="26"/>
    </w:rPr>
  </w:style>
  <w:style w:type="paragraph" w:customStyle="1" w:styleId="31">
    <w:name w:val="Título2"/>
    <w:basedOn w:val="1"/>
    <w:next w:val="10"/>
    <w:uiPriority w:val="0"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customStyle="1" w:styleId="32">
    <w:name w:val="Índice"/>
    <w:basedOn w:val="1"/>
    <w:uiPriority w:val="0"/>
    <w:pPr>
      <w:suppressLineNumbers/>
    </w:pPr>
    <w:rPr>
      <w:rFonts w:cs="Mangal"/>
    </w:rPr>
  </w:style>
  <w:style w:type="paragraph" w:customStyle="1" w:styleId="33">
    <w:name w:val="Título1"/>
    <w:basedOn w:val="1"/>
    <w:next w:val="10"/>
    <w:uiPriority w:val="0"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customStyle="1" w:styleId="34">
    <w:name w:val="Conteúdo da tabela"/>
    <w:basedOn w:val="1"/>
    <w:uiPriority w:val="0"/>
    <w:pPr>
      <w:suppressLineNumbers/>
    </w:pPr>
  </w:style>
  <w:style w:type="paragraph" w:customStyle="1" w:styleId="35">
    <w:name w:val="Título de tabela"/>
    <w:basedOn w:val="34"/>
    <w:uiPriority w:val="0"/>
    <w:pPr>
      <w:suppressLineNumbers/>
      <w:jc w:val="center"/>
    </w:pPr>
    <w:rPr>
      <w:b/>
      <w:bCs/>
    </w:rPr>
  </w:style>
  <w:style w:type="paragraph" w:styleId="36">
    <w:name w:val="List Paragraph"/>
    <w:basedOn w:val="1"/>
    <w:qFormat/>
    <w:uiPriority w:val="34"/>
    <w:pPr>
      <w:suppressAutoHyphens w:val="0"/>
      <w:ind w:left="720"/>
      <w:contextualSpacing/>
    </w:pPr>
    <w:rPr>
      <w:sz w:val="24"/>
      <w:szCs w:val="24"/>
      <w:lang w:eastAsia="pt-BR"/>
    </w:rPr>
  </w:style>
  <w:style w:type="paragraph" w:customStyle="1" w:styleId="37">
    <w:name w:val="Normal2"/>
    <w:qFormat/>
    <w:uiPriority w:val="7"/>
    <w:pPr>
      <w:suppressAutoHyphens/>
    </w:pPr>
    <w:rPr>
      <w:rFonts w:ascii="Times New Roman" w:hAnsi="Times New Roman" w:eastAsia="Times New Roman" w:cs="Times New Roman"/>
      <w:sz w:val="24"/>
      <w:szCs w:val="24"/>
      <w:lang w:val="pt-BR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WINDOWS\DESKTOP\Comiss&#227;o%20de%20Licita&#231;&#227;o\COM.REC.%20183-97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COM.REC. 183-97</Template>
  <Pages>4</Pages>
  <Words>1098</Words>
  <Characters>5934</Characters>
  <Lines>49</Lines>
  <Paragraphs>14</Paragraphs>
  <TotalTime>33</TotalTime>
  <ScaleCrop>false</ScaleCrop>
  <LinksUpToDate>false</LinksUpToDate>
  <CharactersWithSpaces>7018</CharactersWithSpaces>
  <Application>WPS Office_12.2.0.17153_F1E327BC-269C-435d-A152-05C5408002CA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2023-03-01T17:15:00Z</dcterms:created>
  <dc:creator>SES</dc:creator>
  <cp:lastModifiedBy>WPS_1659988556</cp:lastModifiedBy>
  <cp:lastPrinted>1995-11-21T19:41:00Z</cp:lastPrinted>
  <dcterms:modified xsi:type="dcterms:W3CDTF">2024-07-17T18:11:47Z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1046-12.2.0.17153</vt:lpwstr>
  </property>
  <property fmtid="{D5CDD505-2E9C-101B-9397-08002B2CF9AE}" pid="3" name="ICV">
    <vt:lpwstr>28C8063865ED434E81D34BD0D0FC8296_13</vt:lpwstr>
  </property>
</Properties>
</file>