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5304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9117"/>
      </w:tblGrid>
      <w:tr w:rsidR="0048245E" w:rsidRPr="0048245E" w:rsidTr="0048245E">
        <w:trPr>
          <w:tblCellSpacing w:w="15" w:type="dxa"/>
        </w:trPr>
        <w:tc>
          <w:tcPr>
            <w:tcW w:w="4967" w:type="pct"/>
            <w:hideMark/>
          </w:tcPr>
          <w:p w:rsidR="0048245E" w:rsidRPr="0048245E" w:rsidRDefault="0048245E" w:rsidP="00FB14A4">
            <w:pPr>
              <w:spacing w:after="0" w:line="240" w:lineRule="auto"/>
              <w:jc w:val="center"/>
              <w:rPr>
                <w:rFonts w:ascii="Verdana" w:eastAsia="Times New Roman" w:hAnsi="Verdana" w:cs="Arial"/>
                <w:color w:val="333333"/>
                <w:sz w:val="20"/>
                <w:szCs w:val="20"/>
                <w:lang w:eastAsia="pt-BR"/>
              </w:rPr>
            </w:pPr>
            <w:r w:rsidRPr="0048245E">
              <w:rPr>
                <w:rFonts w:ascii="Verdana" w:eastAsia="Times New Roman" w:hAnsi="Verdana" w:cs="Arial"/>
                <w:color w:val="333333"/>
                <w:sz w:val="20"/>
                <w:szCs w:val="20"/>
                <w:lang w:eastAsia="pt-BR"/>
              </w:rPr>
              <w:t>PORTARIA Nº 1.792, DE 22 DE AGOSTO DE 2012</w:t>
            </w:r>
          </w:p>
          <w:p w:rsidR="0048245E" w:rsidRPr="0048245E" w:rsidRDefault="0048245E" w:rsidP="00FB14A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333333"/>
                <w:sz w:val="20"/>
                <w:szCs w:val="20"/>
                <w:lang w:eastAsia="pt-BR"/>
              </w:rPr>
            </w:pPr>
            <w:r w:rsidRPr="0048245E">
              <w:rPr>
                <w:rFonts w:ascii="Verdana" w:eastAsia="Times New Roman" w:hAnsi="Verdana" w:cs="Arial"/>
                <w:color w:val="333333"/>
                <w:sz w:val="20"/>
                <w:szCs w:val="20"/>
                <w:lang w:eastAsia="pt-BR"/>
              </w:rPr>
              <w:t> </w:t>
            </w:r>
            <w:r w:rsidRPr="0048245E">
              <w:rPr>
                <w:rFonts w:ascii="Times New Roman" w:eastAsia="Times New Roman" w:hAnsi="Times New Roman" w:cs="Times New Roman"/>
                <w:color w:val="333333"/>
                <w:sz w:val="20"/>
                <w:szCs w:val="20"/>
                <w:lang w:eastAsia="pt-BR"/>
              </w:rPr>
              <w:t> </w:t>
            </w:r>
          </w:p>
          <w:p w:rsidR="0048245E" w:rsidRPr="0048245E" w:rsidRDefault="0048245E" w:rsidP="00FB14A4">
            <w:pPr>
              <w:spacing w:after="0" w:line="240" w:lineRule="auto"/>
              <w:ind w:left="3119"/>
              <w:jc w:val="both"/>
              <w:rPr>
                <w:rFonts w:ascii="Times New Roman" w:eastAsia="Times New Roman" w:hAnsi="Times New Roman" w:cs="Times New Roman"/>
                <w:color w:val="333333"/>
                <w:sz w:val="20"/>
                <w:szCs w:val="20"/>
                <w:lang w:eastAsia="pt-BR"/>
              </w:rPr>
            </w:pPr>
            <w:r w:rsidRPr="0048245E">
              <w:rPr>
                <w:rFonts w:ascii="Times New Roman" w:eastAsia="Times New Roman" w:hAnsi="Times New Roman" w:cs="Times New Roman"/>
                <w:color w:val="333333"/>
                <w:sz w:val="20"/>
                <w:szCs w:val="20"/>
                <w:lang w:eastAsia="pt-BR"/>
              </w:rPr>
              <w:t>Institui incentivo financeiro de custeio destinado às Centrais de Regulação organizadas</w:t>
            </w:r>
            <w:r w:rsidR="00FB14A4">
              <w:rPr>
                <w:rFonts w:ascii="Times New Roman" w:eastAsia="Times New Roman" w:hAnsi="Times New Roman" w:cs="Times New Roman"/>
                <w:color w:val="333333"/>
                <w:sz w:val="20"/>
                <w:szCs w:val="20"/>
                <w:lang w:eastAsia="pt-BR"/>
              </w:rPr>
              <w:t xml:space="preserve"> </w:t>
            </w:r>
            <w:r w:rsidRPr="0048245E">
              <w:rPr>
                <w:rFonts w:ascii="Times New Roman" w:eastAsia="Times New Roman" w:hAnsi="Times New Roman" w:cs="Times New Roman"/>
                <w:color w:val="333333"/>
                <w:sz w:val="20"/>
                <w:szCs w:val="20"/>
                <w:lang w:eastAsia="pt-BR"/>
              </w:rPr>
              <w:t>no âmbito do Sistema Único de Saúde (SUS).</w:t>
            </w:r>
          </w:p>
          <w:p w:rsidR="0048245E" w:rsidRPr="0048245E" w:rsidRDefault="0048245E" w:rsidP="00FB14A4">
            <w:pPr>
              <w:spacing w:after="0" w:line="240" w:lineRule="auto"/>
              <w:ind w:firstLine="708"/>
              <w:jc w:val="both"/>
              <w:rPr>
                <w:rFonts w:ascii="Times New Roman" w:eastAsia="Times New Roman" w:hAnsi="Times New Roman" w:cs="Times New Roman"/>
                <w:color w:val="333333"/>
                <w:sz w:val="20"/>
                <w:szCs w:val="20"/>
                <w:lang w:eastAsia="pt-BR"/>
              </w:rPr>
            </w:pPr>
            <w:r w:rsidRPr="0048245E">
              <w:rPr>
                <w:rFonts w:ascii="Times New Roman" w:eastAsia="Times New Roman" w:hAnsi="Times New Roman" w:cs="Times New Roman"/>
                <w:color w:val="333333"/>
                <w:sz w:val="20"/>
                <w:szCs w:val="20"/>
                <w:lang w:eastAsia="pt-BR"/>
              </w:rPr>
              <w:t> </w:t>
            </w:r>
          </w:p>
          <w:p w:rsidR="0048245E" w:rsidRPr="0048245E" w:rsidRDefault="0048245E" w:rsidP="00FB14A4">
            <w:pPr>
              <w:spacing w:after="0" w:line="240" w:lineRule="auto"/>
              <w:ind w:firstLine="708"/>
              <w:jc w:val="both"/>
              <w:rPr>
                <w:rFonts w:ascii="Times New Roman" w:eastAsia="Times New Roman" w:hAnsi="Times New Roman" w:cs="Times New Roman"/>
                <w:color w:val="333333"/>
                <w:sz w:val="20"/>
                <w:szCs w:val="20"/>
                <w:lang w:eastAsia="pt-BR"/>
              </w:rPr>
            </w:pPr>
            <w:r w:rsidRPr="0048245E">
              <w:rPr>
                <w:rFonts w:ascii="Times New Roman" w:eastAsia="Times New Roman" w:hAnsi="Times New Roman" w:cs="Times New Roman"/>
                <w:color w:val="333333"/>
                <w:sz w:val="20"/>
                <w:szCs w:val="20"/>
                <w:lang w:eastAsia="pt-BR"/>
              </w:rPr>
              <w:t>O MINISTRO DE ESTADO DA SAÚDE, no uso das atribuições que lhe conferem os incisos</w:t>
            </w:r>
            <w:proofErr w:type="gramStart"/>
            <w:r w:rsidRPr="0048245E">
              <w:rPr>
                <w:rFonts w:ascii="Times New Roman" w:eastAsia="Times New Roman" w:hAnsi="Times New Roman" w:cs="Times New Roman"/>
                <w:color w:val="333333"/>
                <w:sz w:val="20"/>
                <w:szCs w:val="20"/>
                <w:lang w:eastAsia="pt-BR"/>
              </w:rPr>
              <w:t xml:space="preserve">  </w:t>
            </w:r>
            <w:proofErr w:type="gramEnd"/>
            <w:r w:rsidRPr="0048245E">
              <w:rPr>
                <w:rFonts w:ascii="Times New Roman" w:eastAsia="Times New Roman" w:hAnsi="Times New Roman" w:cs="Times New Roman"/>
                <w:color w:val="333333"/>
                <w:sz w:val="20"/>
                <w:szCs w:val="20"/>
                <w:lang w:eastAsia="pt-BR"/>
              </w:rPr>
              <w:t>I e II do parágrafo único do art.87 da Constituição, e</w:t>
            </w:r>
          </w:p>
          <w:p w:rsidR="0048245E" w:rsidRPr="0048245E" w:rsidRDefault="0048245E" w:rsidP="00FB14A4">
            <w:pPr>
              <w:spacing w:after="0" w:line="240" w:lineRule="auto"/>
              <w:ind w:firstLine="708"/>
              <w:jc w:val="both"/>
              <w:rPr>
                <w:rFonts w:ascii="Times New Roman" w:eastAsia="Times New Roman" w:hAnsi="Times New Roman" w:cs="Times New Roman"/>
                <w:color w:val="333333"/>
                <w:sz w:val="20"/>
                <w:szCs w:val="20"/>
                <w:lang w:eastAsia="pt-BR"/>
              </w:rPr>
            </w:pPr>
            <w:r w:rsidRPr="0048245E">
              <w:rPr>
                <w:rFonts w:ascii="Times New Roman" w:eastAsia="Times New Roman" w:hAnsi="Times New Roman" w:cs="Times New Roman"/>
                <w:color w:val="333333"/>
                <w:sz w:val="20"/>
                <w:szCs w:val="20"/>
                <w:lang w:eastAsia="pt-BR"/>
              </w:rPr>
              <w:t>Considerando a alínea "b" do inciso IX do art. 7º da Lei nº 8.080, de 19 de setembro de 1990, que prevê a regionalização e hierarquização da rede de serviços de saúde como princípio a ser observado no desenvolvimento das ações e serviços públicos de saúde;</w:t>
            </w:r>
          </w:p>
          <w:p w:rsidR="0048245E" w:rsidRPr="0048245E" w:rsidRDefault="0048245E" w:rsidP="00FB14A4">
            <w:pPr>
              <w:spacing w:after="0" w:line="240" w:lineRule="auto"/>
              <w:ind w:firstLine="708"/>
              <w:jc w:val="both"/>
              <w:rPr>
                <w:rFonts w:ascii="Times New Roman" w:eastAsia="Times New Roman" w:hAnsi="Times New Roman" w:cs="Times New Roman"/>
                <w:color w:val="333333"/>
                <w:sz w:val="20"/>
                <w:szCs w:val="20"/>
                <w:lang w:eastAsia="pt-BR"/>
              </w:rPr>
            </w:pPr>
            <w:r w:rsidRPr="0048245E">
              <w:rPr>
                <w:rFonts w:ascii="Times New Roman" w:eastAsia="Times New Roman" w:hAnsi="Times New Roman" w:cs="Times New Roman"/>
                <w:color w:val="333333"/>
                <w:sz w:val="20"/>
                <w:szCs w:val="20"/>
                <w:lang w:eastAsia="pt-BR"/>
              </w:rPr>
              <w:t xml:space="preserve">Considerando o art. 20 do Decreto nº 7.508, de 28 de junho de 2011, que prevê que a integralidade da assistência à saúde se inicia e se completa na Rede de Atenção à Saúde, mediante </w:t>
            </w:r>
            <w:proofErr w:type="spellStart"/>
            <w:r w:rsidRPr="0048245E">
              <w:rPr>
                <w:rFonts w:ascii="Times New Roman" w:eastAsia="Times New Roman" w:hAnsi="Times New Roman" w:cs="Times New Roman"/>
                <w:color w:val="333333"/>
                <w:sz w:val="20"/>
                <w:szCs w:val="20"/>
                <w:lang w:eastAsia="pt-BR"/>
              </w:rPr>
              <w:t>referenciamento</w:t>
            </w:r>
            <w:proofErr w:type="spellEnd"/>
            <w:r w:rsidRPr="0048245E">
              <w:rPr>
                <w:rFonts w:ascii="Times New Roman" w:eastAsia="Times New Roman" w:hAnsi="Times New Roman" w:cs="Times New Roman"/>
                <w:color w:val="333333"/>
                <w:sz w:val="20"/>
                <w:szCs w:val="20"/>
                <w:lang w:eastAsia="pt-BR"/>
              </w:rPr>
              <w:t xml:space="preserve"> do usuário na rede regional e interestadual;</w:t>
            </w:r>
          </w:p>
          <w:p w:rsidR="0048245E" w:rsidRPr="0048245E" w:rsidRDefault="0048245E" w:rsidP="00FB14A4">
            <w:pPr>
              <w:spacing w:after="0" w:line="240" w:lineRule="auto"/>
              <w:ind w:firstLine="708"/>
              <w:jc w:val="both"/>
              <w:rPr>
                <w:rFonts w:ascii="Times New Roman" w:eastAsia="Times New Roman" w:hAnsi="Times New Roman" w:cs="Times New Roman"/>
                <w:color w:val="333333"/>
                <w:sz w:val="20"/>
                <w:szCs w:val="20"/>
                <w:lang w:eastAsia="pt-BR"/>
              </w:rPr>
            </w:pPr>
            <w:r w:rsidRPr="0048245E">
              <w:rPr>
                <w:rFonts w:ascii="Times New Roman" w:eastAsia="Times New Roman" w:hAnsi="Times New Roman" w:cs="Times New Roman"/>
                <w:color w:val="333333"/>
                <w:sz w:val="20"/>
                <w:szCs w:val="20"/>
                <w:lang w:eastAsia="pt-BR"/>
              </w:rPr>
              <w:t>Considerando a Portaria nº 1.571/GM/MS, de 29 de junho de 2007, que institui</w:t>
            </w:r>
            <w:proofErr w:type="gramStart"/>
            <w:r w:rsidRPr="0048245E">
              <w:rPr>
                <w:rFonts w:ascii="Times New Roman" w:eastAsia="Times New Roman" w:hAnsi="Times New Roman" w:cs="Times New Roman"/>
                <w:color w:val="333333"/>
                <w:sz w:val="20"/>
                <w:szCs w:val="20"/>
                <w:lang w:eastAsia="pt-BR"/>
              </w:rPr>
              <w:t xml:space="preserve">  </w:t>
            </w:r>
            <w:proofErr w:type="gramEnd"/>
            <w:r w:rsidRPr="0048245E">
              <w:rPr>
                <w:rFonts w:ascii="Times New Roman" w:eastAsia="Times New Roman" w:hAnsi="Times New Roman" w:cs="Times New Roman"/>
                <w:color w:val="333333"/>
                <w:sz w:val="20"/>
                <w:szCs w:val="20"/>
                <w:lang w:eastAsia="pt-BR"/>
              </w:rPr>
              <w:t>incentivo financeiro para implantação e/ou implementação de Complexos Reguladores;</w:t>
            </w:r>
          </w:p>
          <w:p w:rsidR="0048245E" w:rsidRPr="0048245E" w:rsidRDefault="0048245E" w:rsidP="00FB14A4">
            <w:pPr>
              <w:spacing w:after="0" w:line="240" w:lineRule="auto"/>
              <w:ind w:firstLine="708"/>
              <w:jc w:val="both"/>
              <w:rPr>
                <w:rFonts w:ascii="Times New Roman" w:eastAsia="Times New Roman" w:hAnsi="Times New Roman" w:cs="Times New Roman"/>
                <w:color w:val="333333"/>
                <w:sz w:val="20"/>
                <w:szCs w:val="20"/>
                <w:lang w:eastAsia="pt-BR"/>
              </w:rPr>
            </w:pPr>
            <w:r w:rsidRPr="0048245E">
              <w:rPr>
                <w:rFonts w:ascii="Times New Roman" w:eastAsia="Times New Roman" w:hAnsi="Times New Roman" w:cs="Times New Roman"/>
                <w:color w:val="333333"/>
                <w:sz w:val="20"/>
                <w:szCs w:val="20"/>
                <w:lang w:eastAsia="pt-BR"/>
              </w:rPr>
              <w:t>Considerando a Portaria n° 1.559/GM/MS, de 1º de agosto de 2008, que instituiu a Política Nacional de Regulação do Sistema Único de Saúde (SUS);</w:t>
            </w:r>
          </w:p>
          <w:p w:rsidR="0048245E" w:rsidRPr="0048245E" w:rsidRDefault="0048245E" w:rsidP="00FB14A4">
            <w:pPr>
              <w:spacing w:after="0" w:line="240" w:lineRule="auto"/>
              <w:ind w:firstLine="708"/>
              <w:jc w:val="both"/>
              <w:rPr>
                <w:rFonts w:ascii="Times New Roman" w:eastAsia="Times New Roman" w:hAnsi="Times New Roman" w:cs="Times New Roman"/>
                <w:color w:val="333333"/>
                <w:sz w:val="20"/>
                <w:szCs w:val="20"/>
                <w:lang w:eastAsia="pt-BR"/>
              </w:rPr>
            </w:pPr>
            <w:r w:rsidRPr="0048245E">
              <w:rPr>
                <w:rFonts w:ascii="Times New Roman" w:eastAsia="Times New Roman" w:hAnsi="Times New Roman" w:cs="Times New Roman"/>
                <w:color w:val="333333"/>
                <w:sz w:val="20"/>
                <w:szCs w:val="20"/>
                <w:lang w:eastAsia="pt-BR"/>
              </w:rPr>
              <w:t>Considerando a Portaria nº 2.907/GM/MS, de 23 de novembro de 2009, que dispõe</w:t>
            </w:r>
            <w:proofErr w:type="gramStart"/>
            <w:r w:rsidRPr="0048245E">
              <w:rPr>
                <w:rFonts w:ascii="Times New Roman" w:eastAsia="Times New Roman" w:hAnsi="Times New Roman" w:cs="Times New Roman"/>
                <w:color w:val="333333"/>
                <w:sz w:val="20"/>
                <w:szCs w:val="20"/>
                <w:lang w:eastAsia="pt-BR"/>
              </w:rPr>
              <w:t xml:space="preserve">  </w:t>
            </w:r>
            <w:proofErr w:type="gramEnd"/>
            <w:r w:rsidRPr="0048245E">
              <w:rPr>
                <w:rFonts w:ascii="Times New Roman" w:eastAsia="Times New Roman" w:hAnsi="Times New Roman" w:cs="Times New Roman"/>
                <w:color w:val="333333"/>
                <w:sz w:val="20"/>
                <w:szCs w:val="20"/>
                <w:lang w:eastAsia="pt-BR"/>
              </w:rPr>
              <w:t>sobre o financiamento para a implantação e/ou implementação de Complexos Reguladores e informatização das Unidades de Saúde no SUS; e</w:t>
            </w:r>
          </w:p>
          <w:p w:rsidR="0048245E" w:rsidRPr="0048245E" w:rsidRDefault="0048245E" w:rsidP="00FB14A4">
            <w:pPr>
              <w:spacing w:after="0" w:line="240" w:lineRule="auto"/>
              <w:ind w:firstLine="708"/>
              <w:jc w:val="both"/>
              <w:rPr>
                <w:rFonts w:ascii="Times New Roman" w:eastAsia="Times New Roman" w:hAnsi="Times New Roman" w:cs="Times New Roman"/>
                <w:color w:val="333333"/>
                <w:sz w:val="20"/>
                <w:szCs w:val="20"/>
                <w:lang w:eastAsia="pt-BR"/>
              </w:rPr>
            </w:pPr>
            <w:r w:rsidRPr="0048245E">
              <w:rPr>
                <w:rFonts w:ascii="Times New Roman" w:eastAsia="Times New Roman" w:hAnsi="Times New Roman" w:cs="Times New Roman"/>
                <w:color w:val="333333"/>
                <w:sz w:val="20"/>
                <w:szCs w:val="20"/>
                <w:lang w:eastAsia="pt-BR"/>
              </w:rPr>
              <w:t>Considerando a Resolução nº 1, de 29 de setembro de 2011, da Comissão Intergestores Tripartite (CIT), que estabelece diretrizes gerais para a instituição de Regiões de Saúde no âmbito do SUS, resolve:</w:t>
            </w:r>
          </w:p>
          <w:p w:rsidR="0048245E" w:rsidRPr="0048245E" w:rsidRDefault="0048245E" w:rsidP="00FB14A4">
            <w:pPr>
              <w:spacing w:after="0" w:line="240" w:lineRule="auto"/>
              <w:ind w:firstLine="708"/>
              <w:jc w:val="both"/>
              <w:rPr>
                <w:rFonts w:ascii="Times New Roman" w:eastAsia="Times New Roman" w:hAnsi="Times New Roman" w:cs="Times New Roman"/>
                <w:color w:val="333333"/>
                <w:sz w:val="20"/>
                <w:szCs w:val="20"/>
                <w:lang w:eastAsia="pt-BR"/>
              </w:rPr>
            </w:pPr>
            <w:r w:rsidRPr="0048245E">
              <w:rPr>
                <w:rFonts w:ascii="Times New Roman" w:eastAsia="Times New Roman" w:hAnsi="Times New Roman" w:cs="Times New Roman"/>
                <w:color w:val="333333"/>
                <w:sz w:val="20"/>
                <w:szCs w:val="20"/>
                <w:lang w:eastAsia="pt-BR"/>
              </w:rPr>
              <w:t>Art. 1º Fica instituído incentivo financeiro de custeio destinado às Centrais de</w:t>
            </w:r>
            <w:proofErr w:type="gramStart"/>
            <w:r w:rsidRPr="0048245E">
              <w:rPr>
                <w:rFonts w:ascii="Times New Roman" w:eastAsia="Times New Roman" w:hAnsi="Times New Roman" w:cs="Times New Roman"/>
                <w:color w:val="333333"/>
                <w:sz w:val="20"/>
                <w:szCs w:val="20"/>
                <w:lang w:eastAsia="pt-BR"/>
              </w:rPr>
              <w:t xml:space="preserve">  </w:t>
            </w:r>
            <w:proofErr w:type="gramEnd"/>
            <w:r w:rsidRPr="0048245E">
              <w:rPr>
                <w:rFonts w:ascii="Times New Roman" w:eastAsia="Times New Roman" w:hAnsi="Times New Roman" w:cs="Times New Roman"/>
                <w:color w:val="333333"/>
                <w:sz w:val="20"/>
                <w:szCs w:val="20"/>
                <w:lang w:eastAsia="pt-BR"/>
              </w:rPr>
              <w:t>Regulação organizadas no âmbito do Sistema Único de Saúde (SUS).</w:t>
            </w:r>
          </w:p>
          <w:p w:rsidR="0048245E" w:rsidRPr="0048245E" w:rsidRDefault="0048245E" w:rsidP="00FB14A4">
            <w:pPr>
              <w:spacing w:after="0" w:line="240" w:lineRule="auto"/>
              <w:ind w:firstLine="708"/>
              <w:jc w:val="both"/>
              <w:rPr>
                <w:rFonts w:ascii="Times New Roman" w:eastAsia="Times New Roman" w:hAnsi="Times New Roman" w:cs="Times New Roman"/>
                <w:color w:val="333333"/>
                <w:sz w:val="20"/>
                <w:szCs w:val="20"/>
                <w:lang w:eastAsia="pt-BR"/>
              </w:rPr>
            </w:pPr>
            <w:r w:rsidRPr="0048245E">
              <w:rPr>
                <w:rFonts w:ascii="Times New Roman" w:eastAsia="Times New Roman" w:hAnsi="Times New Roman" w:cs="Times New Roman"/>
                <w:color w:val="333333"/>
                <w:sz w:val="20"/>
                <w:szCs w:val="20"/>
                <w:lang w:eastAsia="pt-BR"/>
              </w:rPr>
              <w:t>Art. 2º O incentivo financeiro de custeio de que trata esta Portaria será devido às Centrais de Regulação de Consultas e Exames, ou outra tipologia que vier a substituí-las, e/ou Centrais de Regulação de Internações Hospitalares.</w:t>
            </w:r>
          </w:p>
          <w:p w:rsidR="0048245E" w:rsidRPr="0048245E" w:rsidRDefault="0048245E" w:rsidP="00FB14A4">
            <w:pPr>
              <w:spacing w:after="0" w:line="240" w:lineRule="auto"/>
              <w:ind w:firstLine="708"/>
              <w:jc w:val="both"/>
              <w:rPr>
                <w:rFonts w:ascii="Times New Roman" w:eastAsia="Times New Roman" w:hAnsi="Times New Roman" w:cs="Times New Roman"/>
                <w:color w:val="333333"/>
                <w:sz w:val="20"/>
                <w:szCs w:val="20"/>
                <w:lang w:eastAsia="pt-BR"/>
              </w:rPr>
            </w:pPr>
            <w:r w:rsidRPr="0048245E">
              <w:rPr>
                <w:rFonts w:ascii="Times New Roman" w:eastAsia="Times New Roman" w:hAnsi="Times New Roman" w:cs="Times New Roman"/>
                <w:color w:val="333333"/>
                <w:sz w:val="20"/>
                <w:szCs w:val="20"/>
                <w:lang w:eastAsia="pt-BR"/>
              </w:rPr>
              <w:t>Art. 3º As Centrais de Regulação contempladas pelo incentivo financeiro de que trata esta Portaria terão os seguintes portes possíveis:</w:t>
            </w:r>
          </w:p>
          <w:p w:rsidR="0048245E" w:rsidRPr="0048245E" w:rsidRDefault="0048245E" w:rsidP="00FB14A4">
            <w:pPr>
              <w:spacing w:after="0" w:line="240" w:lineRule="auto"/>
              <w:ind w:firstLine="708"/>
              <w:jc w:val="both"/>
              <w:rPr>
                <w:rFonts w:ascii="Times New Roman" w:eastAsia="Times New Roman" w:hAnsi="Times New Roman" w:cs="Times New Roman"/>
                <w:color w:val="333333"/>
                <w:sz w:val="20"/>
                <w:szCs w:val="20"/>
                <w:lang w:eastAsia="pt-BR"/>
              </w:rPr>
            </w:pPr>
            <w:r w:rsidRPr="0048245E">
              <w:rPr>
                <w:rFonts w:ascii="Times New Roman" w:eastAsia="Times New Roman" w:hAnsi="Times New Roman" w:cs="Times New Roman"/>
                <w:color w:val="333333"/>
                <w:sz w:val="20"/>
                <w:szCs w:val="20"/>
                <w:lang w:eastAsia="pt-BR"/>
              </w:rPr>
              <w:t>I - Porte I - abrangência de duzentos mil a quinhentos mil habitantes;</w:t>
            </w:r>
          </w:p>
          <w:p w:rsidR="0048245E" w:rsidRPr="0048245E" w:rsidRDefault="0048245E" w:rsidP="00FB14A4">
            <w:pPr>
              <w:spacing w:after="0" w:line="240" w:lineRule="auto"/>
              <w:ind w:firstLine="708"/>
              <w:jc w:val="both"/>
              <w:rPr>
                <w:rFonts w:ascii="Times New Roman" w:eastAsia="Times New Roman" w:hAnsi="Times New Roman" w:cs="Times New Roman"/>
                <w:color w:val="333333"/>
                <w:sz w:val="20"/>
                <w:szCs w:val="20"/>
                <w:lang w:eastAsia="pt-BR"/>
              </w:rPr>
            </w:pPr>
            <w:r w:rsidRPr="0048245E">
              <w:rPr>
                <w:rFonts w:ascii="Times New Roman" w:eastAsia="Times New Roman" w:hAnsi="Times New Roman" w:cs="Times New Roman"/>
                <w:color w:val="333333"/>
                <w:sz w:val="20"/>
                <w:szCs w:val="20"/>
                <w:lang w:eastAsia="pt-BR"/>
              </w:rPr>
              <w:t>II - Porte II - abrangência de mais de quinhentos mil até um milhão de habitantes;</w:t>
            </w:r>
          </w:p>
          <w:p w:rsidR="0048245E" w:rsidRPr="0048245E" w:rsidRDefault="0048245E" w:rsidP="00FB14A4">
            <w:pPr>
              <w:spacing w:after="0" w:line="240" w:lineRule="auto"/>
              <w:ind w:firstLine="708"/>
              <w:jc w:val="both"/>
              <w:rPr>
                <w:rFonts w:ascii="Times New Roman" w:eastAsia="Times New Roman" w:hAnsi="Times New Roman" w:cs="Times New Roman"/>
                <w:color w:val="333333"/>
                <w:sz w:val="20"/>
                <w:szCs w:val="20"/>
                <w:lang w:eastAsia="pt-BR"/>
              </w:rPr>
            </w:pPr>
            <w:r w:rsidRPr="0048245E">
              <w:rPr>
                <w:rFonts w:ascii="Times New Roman" w:eastAsia="Times New Roman" w:hAnsi="Times New Roman" w:cs="Times New Roman"/>
                <w:color w:val="333333"/>
                <w:sz w:val="20"/>
                <w:szCs w:val="20"/>
                <w:lang w:eastAsia="pt-BR"/>
              </w:rPr>
              <w:t>III - Porte III - abrangência de mais de um milhão a três milhões de habitantes;</w:t>
            </w:r>
          </w:p>
          <w:p w:rsidR="0048245E" w:rsidRPr="0048245E" w:rsidRDefault="0048245E" w:rsidP="00FB14A4">
            <w:pPr>
              <w:spacing w:after="0" w:line="240" w:lineRule="auto"/>
              <w:ind w:firstLine="708"/>
              <w:jc w:val="both"/>
              <w:rPr>
                <w:rFonts w:ascii="Times New Roman" w:eastAsia="Times New Roman" w:hAnsi="Times New Roman" w:cs="Times New Roman"/>
                <w:color w:val="333333"/>
                <w:sz w:val="20"/>
                <w:szCs w:val="20"/>
                <w:lang w:eastAsia="pt-BR"/>
              </w:rPr>
            </w:pPr>
            <w:r w:rsidRPr="0048245E">
              <w:rPr>
                <w:rFonts w:ascii="Times New Roman" w:eastAsia="Times New Roman" w:hAnsi="Times New Roman" w:cs="Times New Roman"/>
                <w:color w:val="333333"/>
                <w:sz w:val="20"/>
                <w:szCs w:val="20"/>
                <w:lang w:eastAsia="pt-BR"/>
              </w:rPr>
              <w:t>IV - Porte IV - abrangência de mais de três milhões até seis milhões de habitantes; e</w:t>
            </w:r>
          </w:p>
          <w:p w:rsidR="0048245E" w:rsidRPr="0048245E" w:rsidRDefault="0048245E" w:rsidP="00FB14A4">
            <w:pPr>
              <w:spacing w:after="0" w:line="240" w:lineRule="auto"/>
              <w:ind w:firstLine="708"/>
              <w:jc w:val="both"/>
              <w:rPr>
                <w:rFonts w:ascii="Times New Roman" w:eastAsia="Times New Roman" w:hAnsi="Times New Roman" w:cs="Times New Roman"/>
                <w:color w:val="333333"/>
                <w:sz w:val="20"/>
                <w:szCs w:val="20"/>
                <w:lang w:eastAsia="pt-BR"/>
              </w:rPr>
            </w:pPr>
            <w:r w:rsidRPr="0048245E">
              <w:rPr>
                <w:rFonts w:ascii="Times New Roman" w:eastAsia="Times New Roman" w:hAnsi="Times New Roman" w:cs="Times New Roman"/>
                <w:color w:val="333333"/>
                <w:sz w:val="20"/>
                <w:szCs w:val="20"/>
                <w:lang w:eastAsia="pt-BR"/>
              </w:rPr>
              <w:t>V - Porte V - abrangência de mais de seis milhões de habitantes.</w:t>
            </w:r>
          </w:p>
          <w:p w:rsidR="0048245E" w:rsidRPr="0048245E" w:rsidRDefault="0048245E" w:rsidP="00FB14A4">
            <w:pPr>
              <w:spacing w:after="0" w:line="240" w:lineRule="auto"/>
              <w:ind w:firstLine="708"/>
              <w:jc w:val="both"/>
              <w:rPr>
                <w:rFonts w:ascii="Times New Roman" w:eastAsia="Times New Roman" w:hAnsi="Times New Roman" w:cs="Times New Roman"/>
                <w:color w:val="333333"/>
                <w:sz w:val="20"/>
                <w:szCs w:val="20"/>
                <w:lang w:eastAsia="pt-BR"/>
              </w:rPr>
            </w:pPr>
            <w:r w:rsidRPr="0048245E">
              <w:rPr>
                <w:rFonts w:ascii="Times New Roman" w:eastAsia="Times New Roman" w:hAnsi="Times New Roman" w:cs="Times New Roman"/>
                <w:color w:val="333333"/>
                <w:sz w:val="20"/>
                <w:szCs w:val="20"/>
                <w:lang w:eastAsia="pt-BR"/>
              </w:rPr>
              <w:t>§ 1º Para os fins do disposto no inciso I, serão admitidos acordos entre regiões de</w:t>
            </w:r>
            <w:proofErr w:type="gramStart"/>
            <w:r w:rsidRPr="0048245E">
              <w:rPr>
                <w:rFonts w:ascii="Times New Roman" w:eastAsia="Times New Roman" w:hAnsi="Times New Roman" w:cs="Times New Roman"/>
                <w:color w:val="333333"/>
                <w:sz w:val="20"/>
                <w:szCs w:val="20"/>
                <w:lang w:eastAsia="pt-BR"/>
              </w:rPr>
              <w:t xml:space="preserve">  </w:t>
            </w:r>
            <w:proofErr w:type="gramEnd"/>
            <w:r w:rsidRPr="0048245E">
              <w:rPr>
                <w:rFonts w:ascii="Times New Roman" w:eastAsia="Times New Roman" w:hAnsi="Times New Roman" w:cs="Times New Roman"/>
                <w:color w:val="333333"/>
                <w:sz w:val="20"/>
                <w:szCs w:val="20"/>
                <w:lang w:eastAsia="pt-BR"/>
              </w:rPr>
              <w:t>saúde para alcançar o limite mínimo de duzentos mil habitantes.</w:t>
            </w:r>
          </w:p>
          <w:p w:rsidR="0048245E" w:rsidRPr="0048245E" w:rsidRDefault="0048245E" w:rsidP="00FB14A4">
            <w:pPr>
              <w:spacing w:after="0" w:line="240" w:lineRule="auto"/>
              <w:ind w:firstLine="708"/>
              <w:jc w:val="both"/>
              <w:rPr>
                <w:rFonts w:ascii="Times New Roman" w:eastAsia="Times New Roman" w:hAnsi="Times New Roman" w:cs="Times New Roman"/>
                <w:color w:val="333333"/>
                <w:sz w:val="20"/>
                <w:szCs w:val="20"/>
                <w:lang w:eastAsia="pt-BR"/>
              </w:rPr>
            </w:pPr>
            <w:r w:rsidRPr="0048245E">
              <w:rPr>
                <w:rFonts w:ascii="Times New Roman" w:eastAsia="Times New Roman" w:hAnsi="Times New Roman" w:cs="Times New Roman"/>
                <w:color w:val="333333"/>
                <w:sz w:val="20"/>
                <w:szCs w:val="20"/>
                <w:lang w:eastAsia="pt-BR"/>
              </w:rPr>
              <w:t>§ 2º Em caráter excepcional, poderão ser consideradas grandes extensões territoriais e grandes dispersões populacionais para a redefinição da abrangência populacional de uma Central de Regulação.</w:t>
            </w:r>
          </w:p>
          <w:p w:rsidR="0048245E" w:rsidRPr="0048245E" w:rsidRDefault="0048245E" w:rsidP="00FB14A4">
            <w:pPr>
              <w:spacing w:after="0" w:line="240" w:lineRule="auto"/>
              <w:ind w:firstLine="708"/>
              <w:jc w:val="both"/>
              <w:rPr>
                <w:rFonts w:ascii="Times New Roman" w:eastAsia="Times New Roman" w:hAnsi="Times New Roman" w:cs="Times New Roman"/>
                <w:color w:val="333333"/>
                <w:sz w:val="20"/>
                <w:szCs w:val="20"/>
                <w:lang w:eastAsia="pt-BR"/>
              </w:rPr>
            </w:pPr>
            <w:r w:rsidRPr="0048245E">
              <w:rPr>
                <w:rFonts w:ascii="Times New Roman" w:eastAsia="Times New Roman" w:hAnsi="Times New Roman" w:cs="Times New Roman"/>
                <w:color w:val="333333"/>
                <w:sz w:val="20"/>
                <w:szCs w:val="20"/>
                <w:lang w:eastAsia="pt-BR"/>
              </w:rPr>
              <w:t>§ 3º A definição dos valores do incentivo financeiro de custeio foi realizada</w:t>
            </w:r>
            <w:proofErr w:type="gramStart"/>
            <w:r w:rsidRPr="0048245E">
              <w:rPr>
                <w:rFonts w:ascii="Times New Roman" w:eastAsia="Times New Roman" w:hAnsi="Times New Roman" w:cs="Times New Roman"/>
                <w:color w:val="333333"/>
                <w:sz w:val="20"/>
                <w:szCs w:val="20"/>
                <w:lang w:eastAsia="pt-BR"/>
              </w:rPr>
              <w:t xml:space="preserve">  </w:t>
            </w:r>
            <w:proofErr w:type="gramEnd"/>
            <w:r w:rsidRPr="0048245E">
              <w:rPr>
                <w:rFonts w:ascii="Times New Roman" w:eastAsia="Times New Roman" w:hAnsi="Times New Roman" w:cs="Times New Roman"/>
                <w:color w:val="333333"/>
                <w:sz w:val="20"/>
                <w:szCs w:val="20"/>
                <w:lang w:eastAsia="pt-BR"/>
              </w:rPr>
              <w:t>considerando-se o porte das Centrais de Regulação, conforme o anexo a esta Portaria, e com base nos seguintes critérios:</w:t>
            </w:r>
          </w:p>
          <w:p w:rsidR="0048245E" w:rsidRPr="0048245E" w:rsidRDefault="0048245E" w:rsidP="00FB14A4">
            <w:pPr>
              <w:spacing w:after="0" w:line="240" w:lineRule="auto"/>
              <w:ind w:firstLine="708"/>
              <w:jc w:val="both"/>
              <w:rPr>
                <w:rFonts w:ascii="Times New Roman" w:eastAsia="Times New Roman" w:hAnsi="Times New Roman" w:cs="Times New Roman"/>
                <w:color w:val="333333"/>
                <w:sz w:val="20"/>
                <w:szCs w:val="20"/>
                <w:lang w:eastAsia="pt-BR"/>
              </w:rPr>
            </w:pPr>
            <w:r w:rsidRPr="0048245E">
              <w:rPr>
                <w:rFonts w:ascii="Times New Roman" w:eastAsia="Times New Roman" w:hAnsi="Times New Roman" w:cs="Times New Roman"/>
                <w:color w:val="333333"/>
                <w:sz w:val="20"/>
                <w:szCs w:val="20"/>
                <w:lang w:eastAsia="pt-BR"/>
              </w:rPr>
              <w:t>I - escopo das Centrais de Regulação: ambulatorial, internação hospitalar ou central ambulatorial e de internação hospitalar;</w:t>
            </w:r>
          </w:p>
          <w:p w:rsidR="0048245E" w:rsidRPr="0048245E" w:rsidRDefault="0048245E" w:rsidP="00FB14A4">
            <w:pPr>
              <w:spacing w:after="0" w:line="240" w:lineRule="auto"/>
              <w:ind w:left="708"/>
              <w:jc w:val="both"/>
              <w:rPr>
                <w:rFonts w:ascii="Times New Roman" w:eastAsia="Times New Roman" w:hAnsi="Times New Roman" w:cs="Times New Roman"/>
                <w:color w:val="333333"/>
                <w:sz w:val="20"/>
                <w:szCs w:val="20"/>
                <w:lang w:eastAsia="pt-BR"/>
              </w:rPr>
            </w:pPr>
            <w:r w:rsidRPr="0048245E">
              <w:rPr>
                <w:rFonts w:ascii="Times New Roman" w:eastAsia="Times New Roman" w:hAnsi="Times New Roman" w:cs="Times New Roman"/>
                <w:color w:val="333333"/>
                <w:sz w:val="20"/>
                <w:szCs w:val="20"/>
                <w:lang w:eastAsia="pt-BR"/>
              </w:rPr>
              <w:t>II - população coberta pelos recursos assistenciais regulados;</w:t>
            </w:r>
          </w:p>
          <w:p w:rsidR="0048245E" w:rsidRPr="0048245E" w:rsidRDefault="0048245E" w:rsidP="00FB14A4">
            <w:pPr>
              <w:spacing w:after="0" w:line="240" w:lineRule="auto"/>
              <w:ind w:left="708"/>
              <w:jc w:val="both"/>
              <w:rPr>
                <w:rFonts w:ascii="Times New Roman" w:eastAsia="Times New Roman" w:hAnsi="Times New Roman" w:cs="Times New Roman"/>
                <w:color w:val="333333"/>
                <w:sz w:val="20"/>
                <w:szCs w:val="20"/>
                <w:lang w:eastAsia="pt-BR"/>
              </w:rPr>
            </w:pPr>
            <w:r w:rsidRPr="0048245E">
              <w:rPr>
                <w:rFonts w:ascii="Times New Roman" w:eastAsia="Times New Roman" w:hAnsi="Times New Roman" w:cs="Times New Roman"/>
                <w:color w:val="333333"/>
                <w:sz w:val="20"/>
                <w:szCs w:val="20"/>
                <w:lang w:eastAsia="pt-BR"/>
              </w:rPr>
              <w:t>III - dimensionamento de equipe; e</w:t>
            </w:r>
          </w:p>
          <w:p w:rsidR="0048245E" w:rsidRPr="0048245E" w:rsidRDefault="0048245E" w:rsidP="00FB14A4">
            <w:pPr>
              <w:spacing w:after="0" w:line="240" w:lineRule="auto"/>
              <w:ind w:left="708"/>
              <w:jc w:val="both"/>
              <w:rPr>
                <w:rFonts w:ascii="Times New Roman" w:eastAsia="Times New Roman" w:hAnsi="Times New Roman" w:cs="Times New Roman"/>
                <w:color w:val="333333"/>
                <w:sz w:val="20"/>
                <w:szCs w:val="20"/>
                <w:lang w:eastAsia="pt-BR"/>
              </w:rPr>
            </w:pPr>
            <w:r w:rsidRPr="0048245E">
              <w:rPr>
                <w:rFonts w:ascii="Times New Roman" w:eastAsia="Times New Roman" w:hAnsi="Times New Roman" w:cs="Times New Roman"/>
                <w:color w:val="333333"/>
                <w:sz w:val="20"/>
                <w:szCs w:val="20"/>
                <w:lang w:eastAsia="pt-BR"/>
              </w:rPr>
              <w:t>IV - demais despesas de custeio, estimadas em 20% (vinte por cento) do total previsto para custeio da equipe.</w:t>
            </w:r>
          </w:p>
          <w:p w:rsidR="0048245E" w:rsidRPr="0048245E" w:rsidRDefault="0048245E" w:rsidP="00FB14A4">
            <w:pPr>
              <w:spacing w:after="0" w:line="240" w:lineRule="auto"/>
              <w:ind w:firstLine="708"/>
              <w:jc w:val="both"/>
              <w:rPr>
                <w:rFonts w:ascii="Times New Roman" w:eastAsia="Times New Roman" w:hAnsi="Times New Roman" w:cs="Times New Roman"/>
                <w:color w:val="333333"/>
                <w:sz w:val="20"/>
                <w:szCs w:val="20"/>
                <w:lang w:eastAsia="pt-BR"/>
              </w:rPr>
            </w:pPr>
            <w:r w:rsidRPr="0048245E">
              <w:rPr>
                <w:rFonts w:ascii="Times New Roman" w:eastAsia="Times New Roman" w:hAnsi="Times New Roman" w:cs="Times New Roman"/>
                <w:color w:val="333333"/>
                <w:sz w:val="20"/>
                <w:szCs w:val="20"/>
                <w:lang w:eastAsia="pt-BR"/>
              </w:rPr>
              <w:t>Art. 4º Para se habilitar ao recebimento do incentivo financeiro de que trata esta Portaria, o ente federativo deve demonstrar que a Central de Regulação cumpre os seguintes requisitos:</w:t>
            </w:r>
          </w:p>
          <w:p w:rsidR="0048245E" w:rsidRPr="0048245E" w:rsidRDefault="0048245E" w:rsidP="00FB14A4">
            <w:pPr>
              <w:spacing w:after="0" w:line="240" w:lineRule="auto"/>
              <w:ind w:firstLine="708"/>
              <w:jc w:val="both"/>
              <w:rPr>
                <w:rFonts w:ascii="Times New Roman" w:eastAsia="Times New Roman" w:hAnsi="Times New Roman" w:cs="Times New Roman"/>
                <w:color w:val="333333"/>
                <w:sz w:val="20"/>
                <w:szCs w:val="20"/>
                <w:lang w:eastAsia="pt-BR"/>
              </w:rPr>
            </w:pPr>
            <w:r w:rsidRPr="0048245E">
              <w:rPr>
                <w:rFonts w:ascii="Times New Roman" w:eastAsia="Times New Roman" w:hAnsi="Times New Roman" w:cs="Times New Roman"/>
                <w:color w:val="333333"/>
                <w:sz w:val="20"/>
                <w:szCs w:val="20"/>
                <w:lang w:eastAsia="pt-BR"/>
              </w:rPr>
              <w:t>I - dispor de número específico de cadastramento no Sistema Nacional de Cadastro de</w:t>
            </w:r>
            <w:proofErr w:type="gramStart"/>
            <w:r w:rsidRPr="0048245E">
              <w:rPr>
                <w:rFonts w:ascii="Times New Roman" w:eastAsia="Times New Roman" w:hAnsi="Times New Roman" w:cs="Times New Roman"/>
                <w:color w:val="333333"/>
                <w:sz w:val="20"/>
                <w:szCs w:val="20"/>
                <w:lang w:eastAsia="pt-BR"/>
              </w:rPr>
              <w:t xml:space="preserve">  </w:t>
            </w:r>
            <w:proofErr w:type="gramEnd"/>
            <w:r w:rsidRPr="0048245E">
              <w:rPr>
                <w:rFonts w:ascii="Times New Roman" w:eastAsia="Times New Roman" w:hAnsi="Times New Roman" w:cs="Times New Roman"/>
                <w:color w:val="333333"/>
                <w:sz w:val="20"/>
                <w:szCs w:val="20"/>
                <w:lang w:eastAsia="pt-BR"/>
              </w:rPr>
              <w:t>Estabelecimento de Saúde (SCNES), não sendo aceita a utilização do número do cadastro da Secretaria de Saúde estadual, distrital ou municipal;</w:t>
            </w:r>
          </w:p>
          <w:p w:rsidR="0048245E" w:rsidRPr="0048245E" w:rsidRDefault="0048245E" w:rsidP="00FB14A4">
            <w:pPr>
              <w:spacing w:after="0" w:line="240" w:lineRule="auto"/>
              <w:ind w:left="708"/>
              <w:jc w:val="both"/>
              <w:rPr>
                <w:rFonts w:ascii="Times New Roman" w:eastAsia="Times New Roman" w:hAnsi="Times New Roman" w:cs="Times New Roman"/>
                <w:color w:val="333333"/>
                <w:sz w:val="20"/>
                <w:szCs w:val="20"/>
                <w:lang w:eastAsia="pt-BR"/>
              </w:rPr>
            </w:pPr>
            <w:r w:rsidRPr="0048245E">
              <w:rPr>
                <w:rFonts w:ascii="Times New Roman" w:eastAsia="Times New Roman" w:hAnsi="Times New Roman" w:cs="Times New Roman"/>
                <w:color w:val="333333"/>
                <w:sz w:val="20"/>
                <w:szCs w:val="20"/>
                <w:lang w:eastAsia="pt-BR"/>
              </w:rPr>
              <w:t>II - ter abrangência regional;</w:t>
            </w:r>
          </w:p>
          <w:p w:rsidR="0048245E" w:rsidRPr="0048245E" w:rsidRDefault="0048245E" w:rsidP="00FB14A4">
            <w:pPr>
              <w:spacing w:after="0" w:line="240" w:lineRule="auto"/>
              <w:ind w:left="708"/>
              <w:jc w:val="both"/>
              <w:rPr>
                <w:rFonts w:ascii="Times New Roman" w:eastAsia="Times New Roman" w:hAnsi="Times New Roman" w:cs="Times New Roman"/>
                <w:color w:val="333333"/>
                <w:sz w:val="20"/>
                <w:szCs w:val="20"/>
                <w:lang w:eastAsia="pt-BR"/>
              </w:rPr>
            </w:pPr>
            <w:r w:rsidRPr="0048245E">
              <w:rPr>
                <w:rFonts w:ascii="Times New Roman" w:eastAsia="Times New Roman" w:hAnsi="Times New Roman" w:cs="Times New Roman"/>
                <w:color w:val="333333"/>
                <w:sz w:val="20"/>
                <w:szCs w:val="20"/>
                <w:lang w:eastAsia="pt-BR"/>
              </w:rPr>
              <w:t>III - possuir e utilizar protocolos clínicos para regulação do acesso;</w:t>
            </w:r>
          </w:p>
          <w:p w:rsidR="0048245E" w:rsidRPr="0048245E" w:rsidRDefault="0048245E" w:rsidP="00FB14A4">
            <w:pPr>
              <w:spacing w:after="0" w:line="240" w:lineRule="auto"/>
              <w:ind w:firstLine="708"/>
              <w:jc w:val="both"/>
              <w:rPr>
                <w:rFonts w:ascii="Times New Roman" w:eastAsia="Times New Roman" w:hAnsi="Times New Roman" w:cs="Times New Roman"/>
                <w:color w:val="333333"/>
                <w:sz w:val="20"/>
                <w:szCs w:val="20"/>
                <w:lang w:eastAsia="pt-BR"/>
              </w:rPr>
            </w:pPr>
            <w:r w:rsidRPr="0048245E">
              <w:rPr>
                <w:rFonts w:ascii="Times New Roman" w:eastAsia="Times New Roman" w:hAnsi="Times New Roman" w:cs="Times New Roman"/>
                <w:color w:val="333333"/>
                <w:sz w:val="20"/>
                <w:szCs w:val="20"/>
                <w:lang w:eastAsia="pt-BR"/>
              </w:rPr>
              <w:t>IV - utilizar sistema informatizado de suporte ao processo regulatório, com funcionalidade de fila de espera eletrônica que viabilize a gestão de fila;</w:t>
            </w:r>
          </w:p>
          <w:p w:rsidR="0048245E" w:rsidRPr="0048245E" w:rsidRDefault="0048245E" w:rsidP="00FB14A4">
            <w:pPr>
              <w:spacing w:after="0" w:line="240" w:lineRule="auto"/>
              <w:ind w:firstLine="708"/>
              <w:jc w:val="both"/>
              <w:rPr>
                <w:rFonts w:ascii="Times New Roman" w:eastAsia="Times New Roman" w:hAnsi="Times New Roman" w:cs="Times New Roman"/>
                <w:color w:val="333333"/>
                <w:sz w:val="20"/>
                <w:szCs w:val="20"/>
                <w:lang w:eastAsia="pt-BR"/>
              </w:rPr>
            </w:pPr>
            <w:r w:rsidRPr="0048245E">
              <w:rPr>
                <w:rFonts w:ascii="Times New Roman" w:eastAsia="Times New Roman" w:hAnsi="Times New Roman" w:cs="Times New Roman"/>
                <w:color w:val="333333"/>
                <w:sz w:val="20"/>
                <w:szCs w:val="20"/>
                <w:lang w:eastAsia="pt-BR"/>
              </w:rPr>
              <w:t>V - no caso de Central de Regulação de Consultas e Exames:</w:t>
            </w:r>
          </w:p>
          <w:p w:rsidR="0048245E" w:rsidRPr="0048245E" w:rsidRDefault="0048245E" w:rsidP="00FB14A4">
            <w:pPr>
              <w:spacing w:after="0" w:line="240" w:lineRule="auto"/>
              <w:ind w:firstLine="708"/>
              <w:jc w:val="both"/>
              <w:rPr>
                <w:rFonts w:ascii="Times New Roman" w:eastAsia="Times New Roman" w:hAnsi="Times New Roman" w:cs="Times New Roman"/>
                <w:color w:val="333333"/>
                <w:sz w:val="20"/>
                <w:szCs w:val="20"/>
                <w:lang w:eastAsia="pt-BR"/>
              </w:rPr>
            </w:pPr>
            <w:r w:rsidRPr="0048245E">
              <w:rPr>
                <w:rFonts w:ascii="Times New Roman" w:eastAsia="Times New Roman" w:hAnsi="Times New Roman" w:cs="Times New Roman"/>
                <w:color w:val="333333"/>
                <w:sz w:val="20"/>
                <w:szCs w:val="20"/>
                <w:lang w:eastAsia="pt-BR"/>
              </w:rPr>
              <w:t xml:space="preserve">a) regular pelo menos 30% (trinta por cento) da oferta das primeiras consultas especializadas e 50% (cinquenta por cento) da oferta de procedimentos ambulatoriais de alta complexidade; </w:t>
            </w:r>
            <w:proofErr w:type="gramStart"/>
            <w:r w:rsidRPr="0048245E">
              <w:rPr>
                <w:rFonts w:ascii="Times New Roman" w:eastAsia="Times New Roman" w:hAnsi="Times New Roman" w:cs="Times New Roman"/>
                <w:color w:val="333333"/>
                <w:sz w:val="20"/>
                <w:szCs w:val="20"/>
                <w:lang w:eastAsia="pt-BR"/>
              </w:rPr>
              <w:t>e</w:t>
            </w:r>
            <w:proofErr w:type="gramEnd"/>
          </w:p>
          <w:p w:rsidR="0048245E" w:rsidRPr="0048245E" w:rsidRDefault="0048245E" w:rsidP="00FB14A4">
            <w:pPr>
              <w:spacing w:after="0" w:line="240" w:lineRule="auto"/>
              <w:ind w:firstLine="708"/>
              <w:jc w:val="both"/>
              <w:rPr>
                <w:rFonts w:ascii="Times New Roman" w:eastAsia="Times New Roman" w:hAnsi="Times New Roman" w:cs="Times New Roman"/>
                <w:color w:val="333333"/>
                <w:sz w:val="20"/>
                <w:szCs w:val="20"/>
                <w:lang w:eastAsia="pt-BR"/>
              </w:rPr>
            </w:pPr>
            <w:r w:rsidRPr="0048245E">
              <w:rPr>
                <w:rFonts w:ascii="Times New Roman" w:eastAsia="Times New Roman" w:hAnsi="Times New Roman" w:cs="Times New Roman"/>
                <w:color w:val="333333"/>
                <w:sz w:val="20"/>
                <w:szCs w:val="20"/>
                <w:lang w:eastAsia="pt-BR"/>
              </w:rPr>
              <w:t>b) funcionar em todos os dias úteis, por pelo menos oito horas diárias; e</w:t>
            </w:r>
          </w:p>
          <w:p w:rsidR="0048245E" w:rsidRPr="0048245E" w:rsidRDefault="0048245E" w:rsidP="00FB14A4">
            <w:pPr>
              <w:spacing w:after="0" w:line="240" w:lineRule="auto"/>
              <w:ind w:firstLine="708"/>
              <w:jc w:val="both"/>
              <w:rPr>
                <w:rFonts w:ascii="Times New Roman" w:eastAsia="Times New Roman" w:hAnsi="Times New Roman" w:cs="Times New Roman"/>
                <w:color w:val="333333"/>
                <w:sz w:val="20"/>
                <w:szCs w:val="20"/>
                <w:lang w:eastAsia="pt-BR"/>
              </w:rPr>
            </w:pPr>
            <w:r w:rsidRPr="0048245E">
              <w:rPr>
                <w:rFonts w:ascii="Times New Roman" w:eastAsia="Times New Roman" w:hAnsi="Times New Roman" w:cs="Times New Roman"/>
                <w:color w:val="333333"/>
                <w:sz w:val="20"/>
                <w:szCs w:val="20"/>
                <w:lang w:eastAsia="pt-BR"/>
              </w:rPr>
              <w:t xml:space="preserve">VI - no caso de Central de Regulação de Internações Hospitalares: </w:t>
            </w:r>
          </w:p>
          <w:p w:rsidR="0048245E" w:rsidRPr="0048245E" w:rsidRDefault="0048245E" w:rsidP="00FB14A4">
            <w:pPr>
              <w:spacing w:after="0" w:line="240" w:lineRule="auto"/>
              <w:ind w:firstLine="708"/>
              <w:jc w:val="both"/>
              <w:rPr>
                <w:rFonts w:ascii="Times New Roman" w:eastAsia="Times New Roman" w:hAnsi="Times New Roman" w:cs="Times New Roman"/>
                <w:color w:val="333333"/>
                <w:sz w:val="20"/>
                <w:szCs w:val="20"/>
                <w:lang w:eastAsia="pt-BR"/>
              </w:rPr>
            </w:pPr>
            <w:r w:rsidRPr="0048245E">
              <w:rPr>
                <w:rFonts w:ascii="Times New Roman" w:eastAsia="Times New Roman" w:hAnsi="Times New Roman" w:cs="Times New Roman"/>
                <w:color w:val="333333"/>
                <w:sz w:val="20"/>
                <w:szCs w:val="20"/>
                <w:lang w:eastAsia="pt-BR"/>
              </w:rPr>
              <w:t xml:space="preserve">a) regular pelo menos 50% (cinquenta por cento) do acesso à oferta de internações hospitalares; </w:t>
            </w:r>
            <w:proofErr w:type="gramStart"/>
            <w:r w:rsidRPr="0048245E">
              <w:rPr>
                <w:rFonts w:ascii="Times New Roman" w:eastAsia="Times New Roman" w:hAnsi="Times New Roman" w:cs="Times New Roman"/>
                <w:color w:val="333333"/>
                <w:sz w:val="20"/>
                <w:szCs w:val="20"/>
                <w:lang w:eastAsia="pt-BR"/>
              </w:rPr>
              <w:t>e</w:t>
            </w:r>
            <w:proofErr w:type="gramEnd"/>
            <w:r w:rsidRPr="0048245E">
              <w:rPr>
                <w:rFonts w:ascii="Times New Roman" w:eastAsia="Times New Roman" w:hAnsi="Times New Roman" w:cs="Times New Roman"/>
                <w:color w:val="333333"/>
                <w:sz w:val="20"/>
                <w:szCs w:val="20"/>
                <w:lang w:eastAsia="pt-BR"/>
              </w:rPr>
              <w:t xml:space="preserve"> </w:t>
            </w:r>
          </w:p>
          <w:p w:rsidR="0048245E" w:rsidRPr="0048245E" w:rsidRDefault="0048245E" w:rsidP="00FB14A4">
            <w:pPr>
              <w:spacing w:after="0" w:line="240" w:lineRule="auto"/>
              <w:ind w:firstLine="708"/>
              <w:jc w:val="both"/>
              <w:rPr>
                <w:rFonts w:ascii="Times New Roman" w:eastAsia="Times New Roman" w:hAnsi="Times New Roman" w:cs="Times New Roman"/>
                <w:color w:val="333333"/>
                <w:sz w:val="20"/>
                <w:szCs w:val="20"/>
                <w:lang w:eastAsia="pt-BR"/>
              </w:rPr>
            </w:pPr>
            <w:r w:rsidRPr="0048245E">
              <w:rPr>
                <w:rFonts w:ascii="Times New Roman" w:eastAsia="Times New Roman" w:hAnsi="Times New Roman" w:cs="Times New Roman"/>
                <w:color w:val="333333"/>
                <w:sz w:val="20"/>
                <w:szCs w:val="20"/>
                <w:lang w:eastAsia="pt-BR"/>
              </w:rPr>
              <w:lastRenderedPageBreak/>
              <w:t>b) funcionar nas vinte e quatro horas do dia e nos sete dias da semana.</w:t>
            </w:r>
          </w:p>
          <w:p w:rsidR="0048245E" w:rsidRPr="0048245E" w:rsidRDefault="0048245E" w:rsidP="00FB14A4">
            <w:pPr>
              <w:spacing w:after="0" w:line="240" w:lineRule="auto"/>
              <w:ind w:firstLine="708"/>
              <w:jc w:val="both"/>
              <w:rPr>
                <w:rFonts w:ascii="Times New Roman" w:eastAsia="Times New Roman" w:hAnsi="Times New Roman" w:cs="Times New Roman"/>
                <w:color w:val="333333"/>
                <w:sz w:val="20"/>
                <w:szCs w:val="20"/>
                <w:lang w:eastAsia="pt-BR"/>
              </w:rPr>
            </w:pPr>
            <w:r w:rsidRPr="0048245E">
              <w:rPr>
                <w:rFonts w:ascii="Times New Roman" w:eastAsia="Times New Roman" w:hAnsi="Times New Roman" w:cs="Times New Roman"/>
                <w:color w:val="333333"/>
                <w:sz w:val="20"/>
                <w:szCs w:val="20"/>
                <w:lang w:eastAsia="pt-BR"/>
              </w:rPr>
              <w:t>§ 1º Para os fins do disposto no inciso II do caput, terá abrangência regional a Central de Regulação que cumprir o seguinte requisito:</w:t>
            </w:r>
          </w:p>
          <w:p w:rsidR="0048245E" w:rsidRPr="0048245E" w:rsidRDefault="0048245E" w:rsidP="00FB14A4">
            <w:pPr>
              <w:spacing w:after="0" w:line="240" w:lineRule="auto"/>
              <w:ind w:firstLine="708"/>
              <w:jc w:val="both"/>
              <w:rPr>
                <w:rFonts w:ascii="Times New Roman" w:eastAsia="Times New Roman" w:hAnsi="Times New Roman" w:cs="Times New Roman"/>
                <w:color w:val="333333"/>
                <w:sz w:val="20"/>
                <w:szCs w:val="20"/>
                <w:lang w:eastAsia="pt-BR"/>
              </w:rPr>
            </w:pPr>
            <w:r w:rsidRPr="0048245E">
              <w:rPr>
                <w:rFonts w:ascii="Times New Roman" w:eastAsia="Times New Roman" w:hAnsi="Times New Roman" w:cs="Times New Roman"/>
                <w:color w:val="333333"/>
                <w:sz w:val="20"/>
                <w:szCs w:val="20"/>
                <w:lang w:eastAsia="pt-BR"/>
              </w:rPr>
              <w:t>I - regular o acesso a ações e serviços de uma Região de Saúde, conforme Resolução nº 01/CIT, de 29 de setembro de 2011, mesmo que a Central de Regulação regule o acesso de usuários de dois ou mais Estados em regime de cogestão; ou</w:t>
            </w:r>
          </w:p>
          <w:p w:rsidR="0048245E" w:rsidRPr="0048245E" w:rsidRDefault="0048245E" w:rsidP="00FB14A4">
            <w:pPr>
              <w:spacing w:after="0" w:line="240" w:lineRule="auto"/>
              <w:ind w:firstLine="708"/>
              <w:jc w:val="both"/>
              <w:rPr>
                <w:rFonts w:ascii="Times New Roman" w:eastAsia="Times New Roman" w:hAnsi="Times New Roman" w:cs="Times New Roman"/>
                <w:color w:val="333333"/>
                <w:sz w:val="20"/>
                <w:szCs w:val="20"/>
                <w:lang w:eastAsia="pt-BR"/>
              </w:rPr>
            </w:pPr>
            <w:r w:rsidRPr="0048245E">
              <w:rPr>
                <w:rFonts w:ascii="Times New Roman" w:eastAsia="Times New Roman" w:hAnsi="Times New Roman" w:cs="Times New Roman"/>
                <w:color w:val="333333"/>
                <w:sz w:val="20"/>
                <w:szCs w:val="20"/>
                <w:lang w:eastAsia="pt-BR"/>
              </w:rPr>
              <w:t>II - Central de Regulação municipal que seja referência para uma Região de Saúde, com a destinação de no mínimo 30% (trinta por cento) do total da oferta regulada aos usuários procedentes de outros Municípios.</w:t>
            </w:r>
          </w:p>
          <w:p w:rsidR="0048245E" w:rsidRPr="0048245E" w:rsidRDefault="0048245E" w:rsidP="00FB14A4">
            <w:pPr>
              <w:spacing w:after="0" w:line="240" w:lineRule="auto"/>
              <w:ind w:firstLine="708"/>
              <w:jc w:val="both"/>
              <w:rPr>
                <w:rFonts w:ascii="Times New Roman" w:eastAsia="Times New Roman" w:hAnsi="Times New Roman" w:cs="Times New Roman"/>
                <w:color w:val="333333"/>
                <w:sz w:val="20"/>
                <w:szCs w:val="20"/>
                <w:lang w:eastAsia="pt-BR"/>
              </w:rPr>
            </w:pPr>
            <w:r w:rsidRPr="0048245E">
              <w:rPr>
                <w:rFonts w:ascii="Times New Roman" w:eastAsia="Times New Roman" w:hAnsi="Times New Roman" w:cs="Times New Roman"/>
                <w:color w:val="333333"/>
                <w:sz w:val="20"/>
                <w:szCs w:val="20"/>
                <w:lang w:eastAsia="pt-BR"/>
              </w:rPr>
              <w:t xml:space="preserve">§ 2º Em caráter excepcional, o Município com população superior a quinhentos mil habitantes poderá receber o incentivo financeiro de custeio de que trata esta Portaria mesmo sem observar o percentual previsto no inciso II do § 1º deste artigo, desde que preencha os demais requisitos contidos nos </w:t>
            </w:r>
            <w:proofErr w:type="spellStart"/>
            <w:r w:rsidRPr="0048245E">
              <w:rPr>
                <w:rFonts w:ascii="Times New Roman" w:eastAsia="Times New Roman" w:hAnsi="Times New Roman" w:cs="Times New Roman"/>
                <w:color w:val="333333"/>
                <w:sz w:val="20"/>
                <w:szCs w:val="20"/>
                <w:lang w:eastAsia="pt-BR"/>
              </w:rPr>
              <w:t>arts</w:t>
            </w:r>
            <w:proofErr w:type="spellEnd"/>
            <w:r w:rsidRPr="0048245E">
              <w:rPr>
                <w:rFonts w:ascii="Times New Roman" w:eastAsia="Times New Roman" w:hAnsi="Times New Roman" w:cs="Times New Roman"/>
                <w:color w:val="333333"/>
                <w:sz w:val="20"/>
                <w:szCs w:val="20"/>
                <w:lang w:eastAsia="pt-BR"/>
              </w:rPr>
              <w:t>. 4º e 5º.</w:t>
            </w:r>
          </w:p>
          <w:p w:rsidR="0048245E" w:rsidRPr="0048245E" w:rsidRDefault="0048245E" w:rsidP="00FB14A4">
            <w:pPr>
              <w:spacing w:after="0" w:line="240" w:lineRule="auto"/>
              <w:ind w:firstLine="708"/>
              <w:jc w:val="both"/>
              <w:rPr>
                <w:rFonts w:ascii="Times New Roman" w:eastAsia="Times New Roman" w:hAnsi="Times New Roman" w:cs="Times New Roman"/>
                <w:color w:val="333333"/>
                <w:sz w:val="20"/>
                <w:szCs w:val="20"/>
                <w:lang w:eastAsia="pt-BR"/>
              </w:rPr>
            </w:pPr>
            <w:r w:rsidRPr="0048245E">
              <w:rPr>
                <w:rFonts w:ascii="Times New Roman" w:eastAsia="Times New Roman" w:hAnsi="Times New Roman" w:cs="Times New Roman"/>
                <w:color w:val="333333"/>
                <w:sz w:val="20"/>
                <w:szCs w:val="20"/>
                <w:lang w:eastAsia="pt-BR"/>
              </w:rPr>
              <w:t>§ 3º Os protocolos clínicos utilizados pela Central de Regulação deverão ser</w:t>
            </w:r>
            <w:proofErr w:type="gramStart"/>
            <w:r w:rsidRPr="0048245E">
              <w:rPr>
                <w:rFonts w:ascii="Times New Roman" w:eastAsia="Times New Roman" w:hAnsi="Times New Roman" w:cs="Times New Roman"/>
                <w:color w:val="333333"/>
                <w:sz w:val="20"/>
                <w:szCs w:val="20"/>
                <w:lang w:eastAsia="pt-BR"/>
              </w:rPr>
              <w:t xml:space="preserve">  </w:t>
            </w:r>
            <w:proofErr w:type="gramEnd"/>
            <w:r w:rsidRPr="0048245E">
              <w:rPr>
                <w:rFonts w:ascii="Times New Roman" w:eastAsia="Times New Roman" w:hAnsi="Times New Roman" w:cs="Times New Roman"/>
                <w:color w:val="333333"/>
                <w:sz w:val="20"/>
                <w:szCs w:val="20"/>
                <w:lang w:eastAsia="pt-BR"/>
              </w:rPr>
              <w:t xml:space="preserve">encaminhados ao Departamento de Regulação, Avaliação e Controle (DRAC/SAS/MS), para o e- </w:t>
            </w:r>
            <w:proofErr w:type="spellStart"/>
            <w:r w:rsidRPr="0048245E">
              <w:rPr>
                <w:rFonts w:ascii="Times New Roman" w:eastAsia="Times New Roman" w:hAnsi="Times New Roman" w:cs="Times New Roman"/>
                <w:color w:val="333333"/>
                <w:sz w:val="20"/>
                <w:szCs w:val="20"/>
                <w:lang w:eastAsia="pt-BR"/>
              </w:rPr>
              <w:t>mail</w:t>
            </w:r>
            <w:proofErr w:type="spellEnd"/>
            <w:r w:rsidRPr="0048245E">
              <w:rPr>
                <w:rFonts w:ascii="Times New Roman" w:eastAsia="Times New Roman" w:hAnsi="Times New Roman" w:cs="Times New Roman"/>
                <w:color w:val="333333"/>
                <w:sz w:val="20"/>
                <w:szCs w:val="20"/>
                <w:lang w:eastAsia="pt-BR"/>
              </w:rPr>
              <w:t xml:space="preserve"> </w:t>
            </w:r>
            <w:hyperlink r:id="rId5" w:history="1">
              <w:r w:rsidRPr="0048245E">
                <w:rPr>
                  <w:rFonts w:ascii="Times New Roman" w:eastAsia="Times New Roman" w:hAnsi="Times New Roman" w:cs="Times New Roman"/>
                  <w:color w:val="1E6298"/>
                  <w:sz w:val="20"/>
                  <w:szCs w:val="20"/>
                  <w:lang w:eastAsia="pt-BR"/>
                </w:rPr>
                <w:t>cgra@saude.gov.br</w:t>
              </w:r>
            </w:hyperlink>
            <w:r w:rsidRPr="0048245E">
              <w:rPr>
                <w:rFonts w:ascii="Times New Roman" w:eastAsia="Times New Roman" w:hAnsi="Times New Roman" w:cs="Times New Roman"/>
                <w:color w:val="333333"/>
                <w:sz w:val="20"/>
                <w:szCs w:val="20"/>
                <w:lang w:eastAsia="pt-BR"/>
              </w:rPr>
              <w:t xml:space="preserve"> </w:t>
            </w:r>
            <w:r w:rsidRPr="0048245E">
              <w:rPr>
                <w:rFonts w:ascii="Times New Roman" w:eastAsia="Times New Roman" w:hAnsi="Times New Roman" w:cs="Times New Roman"/>
                <w:vanish/>
                <w:color w:val="333333"/>
                <w:sz w:val="20"/>
                <w:szCs w:val="20"/>
                <w:lang w:eastAsia="pt-BR"/>
              </w:rPr>
              <w:t xml:space="preserve">Este endereço de e-mail está protegido contra spambots. Você deve habilitar o JavaScript para visualizá-lo. </w:t>
            </w:r>
            <w:r w:rsidRPr="0048245E">
              <w:rPr>
                <w:rFonts w:ascii="Times New Roman" w:eastAsia="Times New Roman" w:hAnsi="Times New Roman" w:cs="Times New Roman"/>
                <w:color w:val="333333"/>
                <w:sz w:val="20"/>
                <w:szCs w:val="20"/>
                <w:lang w:eastAsia="pt-BR"/>
              </w:rPr>
              <w:t xml:space="preserve">, para fins de disponibilização no portal do Ministério da Saúde, no endereço eletrônico </w:t>
            </w:r>
            <w:hyperlink r:id="rId6" w:history="1">
              <w:r w:rsidRPr="0048245E">
                <w:rPr>
                  <w:rFonts w:ascii="Times New Roman" w:eastAsia="Times New Roman" w:hAnsi="Times New Roman" w:cs="Times New Roman"/>
                  <w:color w:val="1E6298"/>
                  <w:sz w:val="20"/>
                  <w:szCs w:val="20"/>
                  <w:lang w:eastAsia="pt-BR"/>
                </w:rPr>
                <w:t>http://portal.saude.gov.br/portal/saude/</w:t>
              </w:r>
            </w:hyperlink>
            <w:r w:rsidRPr="0048245E">
              <w:rPr>
                <w:rFonts w:ascii="Times New Roman" w:eastAsia="Times New Roman" w:hAnsi="Times New Roman" w:cs="Times New Roman"/>
                <w:color w:val="333333"/>
                <w:sz w:val="20"/>
                <w:szCs w:val="20"/>
                <w:lang w:eastAsia="pt-BR"/>
              </w:rPr>
              <w:t xml:space="preserve"> profissional/</w:t>
            </w:r>
            <w:proofErr w:type="spellStart"/>
            <w:r w:rsidRPr="0048245E">
              <w:rPr>
                <w:rFonts w:ascii="Times New Roman" w:eastAsia="Times New Roman" w:hAnsi="Times New Roman" w:cs="Times New Roman"/>
                <w:color w:val="333333"/>
                <w:sz w:val="20"/>
                <w:szCs w:val="20"/>
                <w:lang w:eastAsia="pt-BR"/>
              </w:rPr>
              <w:t>area</w:t>
            </w:r>
            <w:proofErr w:type="spellEnd"/>
            <w:r w:rsidRPr="0048245E">
              <w:rPr>
                <w:rFonts w:ascii="Times New Roman" w:eastAsia="Times New Roman" w:hAnsi="Times New Roman" w:cs="Times New Roman"/>
                <w:color w:val="333333"/>
                <w:sz w:val="20"/>
                <w:szCs w:val="20"/>
                <w:lang w:eastAsia="pt-BR"/>
              </w:rPr>
              <w:t>.</w:t>
            </w:r>
            <w:proofErr w:type="spellStart"/>
            <w:r w:rsidRPr="0048245E">
              <w:rPr>
                <w:rFonts w:ascii="Times New Roman" w:eastAsia="Times New Roman" w:hAnsi="Times New Roman" w:cs="Times New Roman"/>
                <w:color w:val="333333"/>
                <w:sz w:val="20"/>
                <w:szCs w:val="20"/>
                <w:lang w:eastAsia="pt-BR"/>
              </w:rPr>
              <w:t>cfm</w:t>
            </w:r>
            <w:proofErr w:type="spellEnd"/>
            <w:r w:rsidRPr="0048245E">
              <w:rPr>
                <w:rFonts w:ascii="Times New Roman" w:eastAsia="Times New Roman" w:hAnsi="Times New Roman" w:cs="Times New Roman"/>
                <w:color w:val="333333"/>
                <w:sz w:val="20"/>
                <w:szCs w:val="20"/>
                <w:lang w:eastAsia="pt-BR"/>
              </w:rPr>
              <w:t>?</w:t>
            </w:r>
            <w:proofErr w:type="spellStart"/>
            <w:proofErr w:type="gramStart"/>
            <w:r w:rsidRPr="0048245E">
              <w:rPr>
                <w:rFonts w:ascii="Times New Roman" w:eastAsia="Times New Roman" w:hAnsi="Times New Roman" w:cs="Times New Roman"/>
                <w:color w:val="333333"/>
                <w:sz w:val="20"/>
                <w:szCs w:val="20"/>
                <w:lang w:eastAsia="pt-BR"/>
              </w:rPr>
              <w:t>id_area</w:t>
            </w:r>
            <w:proofErr w:type="spellEnd"/>
            <w:proofErr w:type="gramEnd"/>
            <w:r w:rsidRPr="0048245E">
              <w:rPr>
                <w:rFonts w:ascii="Times New Roman" w:eastAsia="Times New Roman" w:hAnsi="Times New Roman" w:cs="Times New Roman"/>
                <w:color w:val="333333"/>
                <w:sz w:val="20"/>
                <w:szCs w:val="20"/>
                <w:lang w:eastAsia="pt-BR"/>
              </w:rPr>
              <w:t>=1006.</w:t>
            </w:r>
          </w:p>
          <w:p w:rsidR="0048245E" w:rsidRPr="0048245E" w:rsidRDefault="0048245E" w:rsidP="00FB14A4">
            <w:pPr>
              <w:spacing w:after="0" w:line="240" w:lineRule="auto"/>
              <w:ind w:firstLine="708"/>
              <w:jc w:val="both"/>
              <w:rPr>
                <w:rFonts w:ascii="Times New Roman" w:eastAsia="Times New Roman" w:hAnsi="Times New Roman" w:cs="Times New Roman"/>
                <w:color w:val="333333"/>
                <w:sz w:val="20"/>
                <w:szCs w:val="20"/>
                <w:lang w:eastAsia="pt-BR"/>
              </w:rPr>
            </w:pPr>
            <w:r w:rsidRPr="0048245E">
              <w:rPr>
                <w:rFonts w:ascii="Times New Roman" w:eastAsia="Times New Roman" w:hAnsi="Times New Roman" w:cs="Times New Roman"/>
                <w:color w:val="333333"/>
                <w:sz w:val="20"/>
                <w:szCs w:val="20"/>
                <w:lang w:eastAsia="pt-BR"/>
              </w:rPr>
              <w:t>§ 4º Para os fins do disposto no inciso IV do caput, gestão de fila é a avaliação sistemática do número de usuários em fila, do tempo de espera, do perfil clínico, da</w:t>
            </w:r>
            <w:proofErr w:type="gramStart"/>
            <w:r w:rsidRPr="0048245E">
              <w:rPr>
                <w:rFonts w:ascii="Times New Roman" w:eastAsia="Times New Roman" w:hAnsi="Times New Roman" w:cs="Times New Roman"/>
                <w:color w:val="333333"/>
                <w:sz w:val="20"/>
                <w:szCs w:val="20"/>
                <w:lang w:eastAsia="pt-BR"/>
              </w:rPr>
              <w:t xml:space="preserve">  </w:t>
            </w:r>
            <w:proofErr w:type="gramEnd"/>
            <w:r w:rsidRPr="0048245E">
              <w:rPr>
                <w:rFonts w:ascii="Times New Roman" w:eastAsia="Times New Roman" w:hAnsi="Times New Roman" w:cs="Times New Roman"/>
                <w:color w:val="333333"/>
                <w:sz w:val="20"/>
                <w:szCs w:val="20"/>
                <w:lang w:eastAsia="pt-BR"/>
              </w:rPr>
              <w:t>procedência, da especialidade e do tipo de procedimento, bem como a adoção de providências  correlatas, de acordo com os protocolos clínicos de atendimento e de regulação.</w:t>
            </w:r>
          </w:p>
          <w:p w:rsidR="0048245E" w:rsidRPr="0048245E" w:rsidRDefault="0048245E" w:rsidP="00FB14A4">
            <w:pPr>
              <w:spacing w:after="0" w:line="240" w:lineRule="auto"/>
              <w:ind w:firstLine="708"/>
              <w:jc w:val="both"/>
              <w:rPr>
                <w:rFonts w:ascii="Times New Roman" w:eastAsia="Times New Roman" w:hAnsi="Times New Roman" w:cs="Times New Roman"/>
                <w:color w:val="333333"/>
                <w:sz w:val="20"/>
                <w:szCs w:val="20"/>
                <w:lang w:eastAsia="pt-BR"/>
              </w:rPr>
            </w:pPr>
            <w:r w:rsidRPr="0048245E">
              <w:rPr>
                <w:rFonts w:ascii="Times New Roman" w:eastAsia="Times New Roman" w:hAnsi="Times New Roman" w:cs="Times New Roman"/>
                <w:color w:val="333333"/>
                <w:sz w:val="20"/>
                <w:szCs w:val="20"/>
                <w:lang w:eastAsia="pt-BR"/>
              </w:rPr>
              <w:t>§ 5º O profissional de saúde regulador será a autoridade sanitária responsável para garantir o acesso, baseado em protocolos clínicos de atendimento e de regulação, classificação de risco e critérios de priorização pactuados entre os gestores de saúde.</w:t>
            </w:r>
          </w:p>
          <w:p w:rsidR="0048245E" w:rsidRPr="0048245E" w:rsidRDefault="0048245E" w:rsidP="00FB14A4">
            <w:pPr>
              <w:spacing w:after="0" w:line="240" w:lineRule="auto"/>
              <w:ind w:firstLine="708"/>
              <w:jc w:val="both"/>
              <w:rPr>
                <w:rFonts w:ascii="Times New Roman" w:eastAsia="Times New Roman" w:hAnsi="Times New Roman" w:cs="Times New Roman"/>
                <w:color w:val="333333"/>
                <w:sz w:val="20"/>
                <w:szCs w:val="20"/>
                <w:lang w:eastAsia="pt-BR"/>
              </w:rPr>
            </w:pPr>
            <w:r w:rsidRPr="0048245E">
              <w:rPr>
                <w:rFonts w:ascii="Times New Roman" w:eastAsia="Times New Roman" w:hAnsi="Times New Roman" w:cs="Times New Roman"/>
                <w:color w:val="333333"/>
                <w:sz w:val="20"/>
                <w:szCs w:val="20"/>
                <w:lang w:eastAsia="pt-BR"/>
              </w:rPr>
              <w:t>Art. 5º Além dos requisitos descritos no art. 4º, a habilitação para o recebimento do</w:t>
            </w:r>
            <w:proofErr w:type="gramStart"/>
            <w:r w:rsidRPr="0048245E">
              <w:rPr>
                <w:rFonts w:ascii="Times New Roman" w:eastAsia="Times New Roman" w:hAnsi="Times New Roman" w:cs="Times New Roman"/>
                <w:color w:val="333333"/>
                <w:sz w:val="20"/>
                <w:szCs w:val="20"/>
                <w:lang w:eastAsia="pt-BR"/>
              </w:rPr>
              <w:t xml:space="preserve">  </w:t>
            </w:r>
            <w:proofErr w:type="gramEnd"/>
            <w:r w:rsidRPr="0048245E">
              <w:rPr>
                <w:rFonts w:ascii="Times New Roman" w:eastAsia="Times New Roman" w:hAnsi="Times New Roman" w:cs="Times New Roman"/>
                <w:color w:val="333333"/>
                <w:sz w:val="20"/>
                <w:szCs w:val="20"/>
                <w:lang w:eastAsia="pt-BR"/>
              </w:rPr>
              <w:t>incentivo financeiro de custeio de que trata esta Portaria estará condicionada à assunção dos seguintes compromissos pelo gestor de saúde interessado:</w:t>
            </w:r>
          </w:p>
          <w:p w:rsidR="0048245E" w:rsidRPr="0048245E" w:rsidRDefault="0048245E" w:rsidP="00FB14A4">
            <w:pPr>
              <w:spacing w:after="0" w:line="240" w:lineRule="auto"/>
              <w:ind w:firstLine="708"/>
              <w:jc w:val="both"/>
              <w:rPr>
                <w:rFonts w:ascii="Times New Roman" w:eastAsia="Times New Roman" w:hAnsi="Times New Roman" w:cs="Times New Roman"/>
                <w:color w:val="333333"/>
                <w:sz w:val="20"/>
                <w:szCs w:val="20"/>
                <w:lang w:eastAsia="pt-BR"/>
              </w:rPr>
            </w:pPr>
            <w:r w:rsidRPr="0048245E">
              <w:rPr>
                <w:rFonts w:ascii="Times New Roman" w:eastAsia="Times New Roman" w:hAnsi="Times New Roman" w:cs="Times New Roman"/>
                <w:color w:val="333333"/>
                <w:sz w:val="20"/>
                <w:szCs w:val="20"/>
                <w:lang w:eastAsia="pt-BR"/>
              </w:rPr>
              <w:t>I - inserir nas Centrais de Regulação os componentes de referência das redes temáticas e linhas de cuidado prioritárias, a saber:</w:t>
            </w:r>
          </w:p>
          <w:p w:rsidR="0048245E" w:rsidRPr="0048245E" w:rsidRDefault="0048245E" w:rsidP="00FB14A4">
            <w:pPr>
              <w:spacing w:after="0" w:line="240" w:lineRule="auto"/>
              <w:ind w:left="708"/>
              <w:jc w:val="both"/>
              <w:rPr>
                <w:rFonts w:ascii="Times New Roman" w:eastAsia="Times New Roman" w:hAnsi="Times New Roman" w:cs="Times New Roman"/>
                <w:color w:val="333333"/>
                <w:sz w:val="20"/>
                <w:szCs w:val="20"/>
                <w:lang w:eastAsia="pt-BR"/>
              </w:rPr>
            </w:pPr>
            <w:r w:rsidRPr="0048245E">
              <w:rPr>
                <w:rFonts w:ascii="Times New Roman" w:eastAsia="Times New Roman" w:hAnsi="Times New Roman" w:cs="Times New Roman"/>
                <w:color w:val="333333"/>
                <w:sz w:val="20"/>
                <w:szCs w:val="20"/>
                <w:lang w:eastAsia="pt-BR"/>
              </w:rPr>
              <w:t>a) Rede de Atenção às Urgências e Emergências;</w:t>
            </w:r>
          </w:p>
          <w:p w:rsidR="0048245E" w:rsidRPr="0048245E" w:rsidRDefault="0048245E" w:rsidP="00FB14A4">
            <w:pPr>
              <w:spacing w:after="0" w:line="240" w:lineRule="auto"/>
              <w:ind w:left="708"/>
              <w:jc w:val="both"/>
              <w:rPr>
                <w:rFonts w:ascii="Times New Roman" w:eastAsia="Times New Roman" w:hAnsi="Times New Roman" w:cs="Times New Roman"/>
                <w:color w:val="333333"/>
                <w:sz w:val="20"/>
                <w:szCs w:val="20"/>
                <w:lang w:eastAsia="pt-BR"/>
              </w:rPr>
            </w:pPr>
            <w:r w:rsidRPr="0048245E">
              <w:rPr>
                <w:rFonts w:ascii="Times New Roman" w:eastAsia="Times New Roman" w:hAnsi="Times New Roman" w:cs="Times New Roman"/>
                <w:color w:val="333333"/>
                <w:sz w:val="20"/>
                <w:szCs w:val="20"/>
                <w:lang w:eastAsia="pt-BR"/>
              </w:rPr>
              <w:t>b) Rede Cegonha;</w:t>
            </w:r>
          </w:p>
          <w:p w:rsidR="0048245E" w:rsidRPr="0048245E" w:rsidRDefault="0048245E" w:rsidP="00FB14A4">
            <w:pPr>
              <w:spacing w:after="0" w:line="240" w:lineRule="auto"/>
              <w:ind w:left="708"/>
              <w:jc w:val="both"/>
              <w:rPr>
                <w:rFonts w:ascii="Times New Roman" w:eastAsia="Times New Roman" w:hAnsi="Times New Roman" w:cs="Times New Roman"/>
                <w:color w:val="333333"/>
                <w:sz w:val="20"/>
                <w:szCs w:val="20"/>
                <w:lang w:eastAsia="pt-BR"/>
              </w:rPr>
            </w:pPr>
            <w:r w:rsidRPr="0048245E">
              <w:rPr>
                <w:rFonts w:ascii="Times New Roman" w:eastAsia="Times New Roman" w:hAnsi="Times New Roman" w:cs="Times New Roman"/>
                <w:color w:val="333333"/>
                <w:sz w:val="20"/>
                <w:szCs w:val="20"/>
                <w:lang w:eastAsia="pt-BR"/>
              </w:rPr>
              <w:t>c) Rede de Atenção Psicossocial;</w:t>
            </w:r>
          </w:p>
          <w:p w:rsidR="0048245E" w:rsidRPr="0048245E" w:rsidRDefault="0048245E" w:rsidP="00FB14A4">
            <w:pPr>
              <w:spacing w:after="0" w:line="240" w:lineRule="auto"/>
              <w:ind w:left="708"/>
              <w:jc w:val="both"/>
              <w:rPr>
                <w:rFonts w:ascii="Times New Roman" w:eastAsia="Times New Roman" w:hAnsi="Times New Roman" w:cs="Times New Roman"/>
                <w:color w:val="333333"/>
                <w:sz w:val="20"/>
                <w:szCs w:val="20"/>
                <w:lang w:eastAsia="pt-BR"/>
              </w:rPr>
            </w:pPr>
            <w:r w:rsidRPr="0048245E">
              <w:rPr>
                <w:rFonts w:ascii="Times New Roman" w:eastAsia="Times New Roman" w:hAnsi="Times New Roman" w:cs="Times New Roman"/>
                <w:color w:val="333333"/>
                <w:sz w:val="20"/>
                <w:szCs w:val="20"/>
                <w:lang w:eastAsia="pt-BR"/>
              </w:rPr>
              <w:t>d) ações e serviços de diagnóstico e tratamento do câncer de mama e câncer de colo do útero;</w:t>
            </w:r>
          </w:p>
          <w:p w:rsidR="0048245E" w:rsidRPr="0048245E" w:rsidRDefault="0048245E" w:rsidP="00FB14A4">
            <w:pPr>
              <w:spacing w:after="0" w:line="240" w:lineRule="auto"/>
              <w:ind w:left="708"/>
              <w:jc w:val="both"/>
              <w:rPr>
                <w:rFonts w:ascii="Times New Roman" w:eastAsia="Times New Roman" w:hAnsi="Times New Roman" w:cs="Times New Roman"/>
                <w:color w:val="333333"/>
                <w:sz w:val="20"/>
                <w:szCs w:val="20"/>
                <w:lang w:eastAsia="pt-BR"/>
              </w:rPr>
            </w:pPr>
            <w:r w:rsidRPr="0048245E">
              <w:rPr>
                <w:rFonts w:ascii="Times New Roman" w:eastAsia="Times New Roman" w:hAnsi="Times New Roman" w:cs="Times New Roman"/>
                <w:color w:val="333333"/>
                <w:sz w:val="20"/>
                <w:szCs w:val="20"/>
                <w:lang w:eastAsia="pt-BR"/>
              </w:rPr>
              <w:t>e) Rede de Cuidados à Pessoa com Deficiência; e</w:t>
            </w:r>
          </w:p>
          <w:p w:rsidR="0048245E" w:rsidRPr="0048245E" w:rsidRDefault="0048245E" w:rsidP="00FB14A4">
            <w:pPr>
              <w:spacing w:after="0" w:line="240" w:lineRule="auto"/>
              <w:ind w:left="708"/>
              <w:jc w:val="both"/>
              <w:rPr>
                <w:rFonts w:ascii="Times New Roman" w:eastAsia="Times New Roman" w:hAnsi="Times New Roman" w:cs="Times New Roman"/>
                <w:color w:val="333333"/>
                <w:sz w:val="20"/>
                <w:szCs w:val="20"/>
                <w:lang w:eastAsia="pt-BR"/>
              </w:rPr>
            </w:pPr>
            <w:r w:rsidRPr="0048245E">
              <w:rPr>
                <w:rFonts w:ascii="Times New Roman" w:eastAsia="Times New Roman" w:hAnsi="Times New Roman" w:cs="Times New Roman"/>
                <w:color w:val="333333"/>
                <w:sz w:val="20"/>
                <w:szCs w:val="20"/>
                <w:lang w:eastAsia="pt-BR"/>
              </w:rPr>
              <w:t>f) propedêutica e terapêutica para o portador de afecções Reno cardiovasculares, e</w:t>
            </w:r>
            <w:proofErr w:type="gramStart"/>
            <w:r w:rsidRPr="0048245E">
              <w:rPr>
                <w:rFonts w:ascii="Times New Roman" w:eastAsia="Times New Roman" w:hAnsi="Times New Roman" w:cs="Times New Roman"/>
                <w:color w:val="333333"/>
                <w:sz w:val="20"/>
                <w:szCs w:val="20"/>
                <w:lang w:eastAsia="pt-BR"/>
              </w:rPr>
              <w:t xml:space="preserve">  </w:t>
            </w:r>
            <w:proofErr w:type="gramEnd"/>
            <w:r w:rsidRPr="0048245E">
              <w:rPr>
                <w:rFonts w:ascii="Times New Roman" w:eastAsia="Times New Roman" w:hAnsi="Times New Roman" w:cs="Times New Roman"/>
                <w:color w:val="333333"/>
                <w:sz w:val="20"/>
                <w:szCs w:val="20"/>
                <w:lang w:eastAsia="pt-BR"/>
              </w:rPr>
              <w:t>demais agravos considerados prioritários pelas comissões intergestores;</w:t>
            </w:r>
          </w:p>
          <w:p w:rsidR="0048245E" w:rsidRPr="0048245E" w:rsidRDefault="0048245E" w:rsidP="00FB14A4">
            <w:pPr>
              <w:spacing w:after="0" w:line="240" w:lineRule="auto"/>
              <w:ind w:firstLine="708"/>
              <w:jc w:val="both"/>
              <w:rPr>
                <w:rFonts w:ascii="Times New Roman" w:eastAsia="Times New Roman" w:hAnsi="Times New Roman" w:cs="Times New Roman"/>
                <w:color w:val="333333"/>
                <w:sz w:val="20"/>
                <w:szCs w:val="20"/>
                <w:lang w:eastAsia="pt-BR"/>
              </w:rPr>
            </w:pPr>
            <w:r w:rsidRPr="0048245E">
              <w:rPr>
                <w:rFonts w:ascii="Times New Roman" w:eastAsia="Times New Roman" w:hAnsi="Times New Roman" w:cs="Times New Roman"/>
                <w:color w:val="333333"/>
                <w:sz w:val="20"/>
                <w:szCs w:val="20"/>
                <w:lang w:eastAsia="pt-BR"/>
              </w:rPr>
              <w:t>II - ter 100% (cem por cento) dos recursos assistenciais de referência das redes prioritárias sobre regulação no Complexo Regulador em até doze meses após a publicação da Portaria de habilitação ao recebimento do incentivo financeiro de custeio;</w:t>
            </w:r>
          </w:p>
          <w:p w:rsidR="0048245E" w:rsidRPr="0048245E" w:rsidRDefault="0048245E" w:rsidP="00FB14A4">
            <w:pPr>
              <w:spacing w:after="0" w:line="240" w:lineRule="auto"/>
              <w:ind w:firstLine="708"/>
              <w:jc w:val="both"/>
              <w:rPr>
                <w:rFonts w:ascii="Times New Roman" w:eastAsia="Times New Roman" w:hAnsi="Times New Roman" w:cs="Times New Roman"/>
                <w:color w:val="333333"/>
                <w:sz w:val="20"/>
                <w:szCs w:val="20"/>
                <w:lang w:eastAsia="pt-BR"/>
              </w:rPr>
            </w:pPr>
            <w:r w:rsidRPr="0048245E">
              <w:rPr>
                <w:rFonts w:ascii="Times New Roman" w:eastAsia="Times New Roman" w:hAnsi="Times New Roman" w:cs="Times New Roman"/>
                <w:color w:val="333333"/>
                <w:sz w:val="20"/>
                <w:szCs w:val="20"/>
                <w:lang w:eastAsia="pt-BR"/>
              </w:rPr>
              <w:t>III - criar mecanismos de regulação no âmbito das Unidades Básicas de Saúde (UBS) com definição de prioridades de acesso a outros serviços ou níveis de atenção, com base na realização de classificação de risco, observando o risco clínico, a vulnerabilidade do paciente e a garantia da continuidade do cuidado;</w:t>
            </w:r>
          </w:p>
          <w:p w:rsidR="0048245E" w:rsidRPr="0048245E" w:rsidRDefault="0048245E" w:rsidP="00FB14A4">
            <w:pPr>
              <w:spacing w:after="0" w:line="240" w:lineRule="auto"/>
              <w:ind w:firstLine="708"/>
              <w:jc w:val="both"/>
              <w:rPr>
                <w:rFonts w:ascii="Times New Roman" w:eastAsia="Times New Roman" w:hAnsi="Times New Roman" w:cs="Times New Roman"/>
                <w:color w:val="333333"/>
                <w:sz w:val="20"/>
                <w:szCs w:val="20"/>
                <w:lang w:eastAsia="pt-BR"/>
              </w:rPr>
            </w:pPr>
            <w:r w:rsidRPr="0048245E">
              <w:rPr>
                <w:rFonts w:ascii="Times New Roman" w:eastAsia="Times New Roman" w:hAnsi="Times New Roman" w:cs="Times New Roman"/>
                <w:color w:val="333333"/>
                <w:sz w:val="20"/>
                <w:szCs w:val="20"/>
                <w:lang w:eastAsia="pt-BR"/>
              </w:rPr>
              <w:t>IV - regular, por meio da Central de Regulação de Consultas e Exames, ou outra tipologia que vier a substituí-las, o acesso a todos os procedimentos ambulatoriais, incluindo consultas, exames, terapias e cirurgias ambulatoriais, em até doze meses após a publicação da</w:t>
            </w:r>
          </w:p>
          <w:p w:rsidR="0048245E" w:rsidRPr="0048245E" w:rsidRDefault="0048245E" w:rsidP="00FB14A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333333"/>
                <w:sz w:val="20"/>
                <w:szCs w:val="20"/>
                <w:lang w:eastAsia="pt-BR"/>
              </w:rPr>
            </w:pPr>
            <w:r w:rsidRPr="0048245E">
              <w:rPr>
                <w:rFonts w:ascii="Times New Roman" w:eastAsia="Times New Roman" w:hAnsi="Times New Roman" w:cs="Times New Roman"/>
                <w:color w:val="333333"/>
                <w:sz w:val="20"/>
                <w:szCs w:val="20"/>
                <w:lang w:eastAsia="pt-BR"/>
              </w:rPr>
              <w:t>Portaria de habilitação ao recebimento do incentivo financeiro de custeio;</w:t>
            </w:r>
          </w:p>
          <w:p w:rsidR="0048245E" w:rsidRPr="0048245E" w:rsidRDefault="0048245E" w:rsidP="00FB14A4">
            <w:pPr>
              <w:spacing w:after="0" w:line="240" w:lineRule="auto"/>
              <w:ind w:firstLine="708"/>
              <w:jc w:val="both"/>
              <w:rPr>
                <w:rFonts w:ascii="Times New Roman" w:eastAsia="Times New Roman" w:hAnsi="Times New Roman" w:cs="Times New Roman"/>
                <w:color w:val="333333"/>
                <w:sz w:val="20"/>
                <w:szCs w:val="20"/>
                <w:lang w:eastAsia="pt-BR"/>
              </w:rPr>
            </w:pPr>
            <w:r w:rsidRPr="0048245E">
              <w:rPr>
                <w:rFonts w:ascii="Times New Roman" w:eastAsia="Times New Roman" w:hAnsi="Times New Roman" w:cs="Times New Roman"/>
                <w:color w:val="333333"/>
                <w:sz w:val="20"/>
                <w:szCs w:val="20"/>
                <w:lang w:eastAsia="pt-BR"/>
              </w:rPr>
              <w:t>V - regular, por meio da Central de Regulação de Internações Hospitalares, no mínimo</w:t>
            </w:r>
            <w:proofErr w:type="gramStart"/>
            <w:r w:rsidRPr="0048245E">
              <w:rPr>
                <w:rFonts w:ascii="Times New Roman" w:eastAsia="Times New Roman" w:hAnsi="Times New Roman" w:cs="Times New Roman"/>
                <w:color w:val="333333"/>
                <w:sz w:val="20"/>
                <w:szCs w:val="20"/>
                <w:lang w:eastAsia="pt-BR"/>
              </w:rPr>
              <w:t xml:space="preserve">  </w:t>
            </w:r>
            <w:proofErr w:type="gramEnd"/>
            <w:r w:rsidRPr="0048245E">
              <w:rPr>
                <w:rFonts w:ascii="Times New Roman" w:eastAsia="Times New Roman" w:hAnsi="Times New Roman" w:cs="Times New Roman"/>
                <w:color w:val="333333"/>
                <w:sz w:val="20"/>
                <w:szCs w:val="20"/>
                <w:lang w:eastAsia="pt-BR"/>
              </w:rPr>
              <w:t>50% (cinquenta por cento) da oferta das internações de urgência e 100% (cem por cento) das  internações seletivas, em até dezoito meses após a publicação da Portaria de habilitação ao recebimento do incentivo financeiro de custeio; e</w:t>
            </w:r>
          </w:p>
          <w:p w:rsidR="0048245E" w:rsidRPr="0048245E" w:rsidRDefault="0048245E" w:rsidP="00FB14A4">
            <w:pPr>
              <w:spacing w:after="0" w:line="240" w:lineRule="auto"/>
              <w:ind w:firstLine="708"/>
              <w:jc w:val="both"/>
              <w:rPr>
                <w:rFonts w:ascii="Times New Roman" w:eastAsia="Times New Roman" w:hAnsi="Times New Roman" w:cs="Times New Roman"/>
                <w:color w:val="333333"/>
                <w:sz w:val="20"/>
                <w:szCs w:val="20"/>
                <w:lang w:eastAsia="pt-BR"/>
              </w:rPr>
            </w:pPr>
            <w:r w:rsidRPr="0048245E">
              <w:rPr>
                <w:rFonts w:ascii="Times New Roman" w:eastAsia="Times New Roman" w:hAnsi="Times New Roman" w:cs="Times New Roman"/>
                <w:color w:val="333333"/>
                <w:sz w:val="20"/>
                <w:szCs w:val="20"/>
                <w:lang w:eastAsia="pt-BR"/>
              </w:rPr>
              <w:t xml:space="preserve">VI - caso o sistema informatizado utilizado para a regulação não seja o Sistema Nacional de Regulação (SISREG), firmar compromisso de atender às condições para interoperabilidade com </w:t>
            </w:r>
            <w:proofErr w:type="gramStart"/>
            <w:r w:rsidRPr="0048245E">
              <w:rPr>
                <w:rFonts w:ascii="Times New Roman" w:eastAsia="Times New Roman" w:hAnsi="Times New Roman" w:cs="Times New Roman"/>
                <w:color w:val="333333"/>
                <w:sz w:val="20"/>
                <w:szCs w:val="20"/>
                <w:lang w:eastAsia="pt-BR"/>
              </w:rPr>
              <w:t>o SIS</w:t>
            </w:r>
            <w:proofErr w:type="gramEnd"/>
            <w:r w:rsidRPr="0048245E">
              <w:rPr>
                <w:rFonts w:ascii="Times New Roman" w:eastAsia="Times New Roman" w:hAnsi="Times New Roman" w:cs="Times New Roman"/>
                <w:color w:val="333333"/>
                <w:sz w:val="20"/>
                <w:szCs w:val="20"/>
                <w:lang w:eastAsia="pt-BR"/>
              </w:rPr>
              <w:t xml:space="preserve"> REG, em padrões a serem definidos em ato específico a ser publicado em conjunto pelo DRAC/SAS/MS e pelo Departamento de Informática do SUS (DATASUS/SGEP/MS).</w:t>
            </w:r>
          </w:p>
          <w:p w:rsidR="0048245E" w:rsidRPr="0048245E" w:rsidRDefault="0048245E" w:rsidP="00FB14A4">
            <w:pPr>
              <w:spacing w:after="0" w:line="240" w:lineRule="auto"/>
              <w:ind w:firstLine="708"/>
              <w:jc w:val="both"/>
              <w:rPr>
                <w:rFonts w:ascii="Times New Roman" w:eastAsia="Times New Roman" w:hAnsi="Times New Roman" w:cs="Times New Roman"/>
                <w:color w:val="333333"/>
                <w:sz w:val="20"/>
                <w:szCs w:val="20"/>
                <w:lang w:eastAsia="pt-BR"/>
              </w:rPr>
            </w:pPr>
            <w:r w:rsidRPr="0048245E">
              <w:rPr>
                <w:rFonts w:ascii="Times New Roman" w:eastAsia="Times New Roman" w:hAnsi="Times New Roman" w:cs="Times New Roman"/>
                <w:color w:val="333333"/>
                <w:sz w:val="20"/>
                <w:szCs w:val="20"/>
                <w:lang w:eastAsia="pt-BR"/>
              </w:rPr>
              <w:t xml:space="preserve">Art. 6º Será custeada apenas uma Central de Regulação de Consultas e Exames ou outra tipologia que vier a substituí-las e uma Central de Regulação de Internações Hospitalares por Região de Saúde. </w:t>
            </w:r>
          </w:p>
          <w:p w:rsidR="0048245E" w:rsidRPr="0048245E" w:rsidRDefault="0048245E" w:rsidP="00FB14A4">
            <w:pPr>
              <w:spacing w:after="0" w:line="240" w:lineRule="auto"/>
              <w:ind w:firstLine="708"/>
              <w:jc w:val="both"/>
              <w:rPr>
                <w:rFonts w:ascii="Times New Roman" w:eastAsia="Times New Roman" w:hAnsi="Times New Roman" w:cs="Times New Roman"/>
                <w:color w:val="333333"/>
                <w:sz w:val="20"/>
                <w:szCs w:val="20"/>
                <w:lang w:eastAsia="pt-BR"/>
              </w:rPr>
            </w:pPr>
            <w:r w:rsidRPr="0048245E">
              <w:rPr>
                <w:rFonts w:ascii="Times New Roman" w:eastAsia="Times New Roman" w:hAnsi="Times New Roman" w:cs="Times New Roman"/>
                <w:color w:val="333333"/>
                <w:sz w:val="20"/>
                <w:szCs w:val="20"/>
                <w:lang w:eastAsia="pt-BR"/>
              </w:rPr>
              <w:t>§ 1º Nas capitais com população superior a quinhentos mil habitantes, será possível o</w:t>
            </w:r>
            <w:proofErr w:type="gramStart"/>
            <w:r w:rsidRPr="0048245E">
              <w:rPr>
                <w:rFonts w:ascii="Times New Roman" w:eastAsia="Times New Roman" w:hAnsi="Times New Roman" w:cs="Times New Roman"/>
                <w:color w:val="333333"/>
                <w:sz w:val="20"/>
                <w:szCs w:val="20"/>
                <w:lang w:eastAsia="pt-BR"/>
              </w:rPr>
              <w:t xml:space="preserve">  </w:t>
            </w:r>
            <w:proofErr w:type="gramEnd"/>
            <w:r w:rsidRPr="0048245E">
              <w:rPr>
                <w:rFonts w:ascii="Times New Roman" w:eastAsia="Times New Roman" w:hAnsi="Times New Roman" w:cs="Times New Roman"/>
                <w:color w:val="333333"/>
                <w:sz w:val="20"/>
                <w:szCs w:val="20"/>
                <w:lang w:eastAsia="pt-BR"/>
              </w:rPr>
              <w:t>custeio de até quatro centrais de regulação, sendo uma Central de Regulação de Consultas e  Exames ou outra tipologia que vier a substituí-las e uma Central de Regulação de Internações Hospitalares, por ente federado, ou seja, Estado e Município, respeitado o comando único em um mesmo estabelecimento de saúde.</w:t>
            </w:r>
          </w:p>
          <w:p w:rsidR="0048245E" w:rsidRPr="0048245E" w:rsidRDefault="0048245E" w:rsidP="00FB14A4">
            <w:pPr>
              <w:spacing w:after="0" w:line="240" w:lineRule="auto"/>
              <w:ind w:firstLine="708"/>
              <w:jc w:val="both"/>
              <w:rPr>
                <w:rFonts w:ascii="Times New Roman" w:eastAsia="Times New Roman" w:hAnsi="Times New Roman" w:cs="Times New Roman"/>
                <w:color w:val="333333"/>
                <w:sz w:val="20"/>
                <w:szCs w:val="20"/>
                <w:lang w:eastAsia="pt-BR"/>
              </w:rPr>
            </w:pPr>
            <w:r w:rsidRPr="0048245E">
              <w:rPr>
                <w:rFonts w:ascii="Times New Roman" w:eastAsia="Times New Roman" w:hAnsi="Times New Roman" w:cs="Times New Roman"/>
                <w:color w:val="333333"/>
                <w:sz w:val="20"/>
                <w:szCs w:val="20"/>
                <w:lang w:eastAsia="pt-BR"/>
              </w:rPr>
              <w:t>§ 2º Os Municípios contemplados na forma da excepcionalidade prevista no § 2º do</w:t>
            </w:r>
            <w:proofErr w:type="gramStart"/>
            <w:r w:rsidRPr="0048245E">
              <w:rPr>
                <w:rFonts w:ascii="Times New Roman" w:eastAsia="Times New Roman" w:hAnsi="Times New Roman" w:cs="Times New Roman"/>
                <w:color w:val="333333"/>
                <w:sz w:val="20"/>
                <w:szCs w:val="20"/>
                <w:lang w:eastAsia="pt-BR"/>
              </w:rPr>
              <w:t xml:space="preserve">  </w:t>
            </w:r>
            <w:proofErr w:type="gramEnd"/>
            <w:r w:rsidRPr="0048245E">
              <w:rPr>
                <w:rFonts w:ascii="Times New Roman" w:eastAsia="Times New Roman" w:hAnsi="Times New Roman" w:cs="Times New Roman"/>
                <w:color w:val="333333"/>
                <w:sz w:val="20"/>
                <w:szCs w:val="20"/>
                <w:lang w:eastAsia="pt-BR"/>
              </w:rPr>
              <w:t xml:space="preserve">art. 4º receberão o incentivo financeiro de custeio para uma Central de Consultas e Exames ou outra tipologia que vier a substituí-las e uma Central de Regulação de Internação Hospitalar ou para uma Central de Regulação única que agregue a regulação de consultas e exames e a regulação de internação hospitalar, conforme tipologias descritas no anexo </w:t>
            </w:r>
            <w:r w:rsidRPr="0048245E">
              <w:rPr>
                <w:rFonts w:ascii="Times New Roman" w:eastAsia="Times New Roman" w:hAnsi="Times New Roman" w:cs="Times New Roman"/>
                <w:color w:val="333333"/>
                <w:sz w:val="20"/>
                <w:szCs w:val="20"/>
                <w:lang w:eastAsia="pt-BR"/>
              </w:rPr>
              <w:lastRenderedPageBreak/>
              <w:t>a esta Portaria.</w:t>
            </w:r>
          </w:p>
          <w:p w:rsidR="0048245E" w:rsidRPr="0048245E" w:rsidRDefault="0048245E" w:rsidP="00FB14A4">
            <w:pPr>
              <w:spacing w:after="0" w:line="240" w:lineRule="auto"/>
              <w:ind w:firstLine="708"/>
              <w:jc w:val="both"/>
              <w:rPr>
                <w:rFonts w:ascii="Times New Roman" w:eastAsia="Times New Roman" w:hAnsi="Times New Roman" w:cs="Times New Roman"/>
                <w:color w:val="333333"/>
                <w:sz w:val="20"/>
                <w:szCs w:val="20"/>
                <w:lang w:eastAsia="pt-BR"/>
              </w:rPr>
            </w:pPr>
            <w:r w:rsidRPr="0048245E">
              <w:rPr>
                <w:rFonts w:ascii="Times New Roman" w:eastAsia="Times New Roman" w:hAnsi="Times New Roman" w:cs="Times New Roman"/>
                <w:color w:val="333333"/>
                <w:sz w:val="20"/>
                <w:szCs w:val="20"/>
                <w:lang w:eastAsia="pt-BR"/>
              </w:rPr>
              <w:t>Art. 7º A partir da publicação desta Portaria, as Centrais de Regulação, já existentes ou</w:t>
            </w:r>
            <w:proofErr w:type="gramStart"/>
            <w:r w:rsidRPr="0048245E">
              <w:rPr>
                <w:rFonts w:ascii="Times New Roman" w:eastAsia="Times New Roman" w:hAnsi="Times New Roman" w:cs="Times New Roman"/>
                <w:color w:val="333333"/>
                <w:sz w:val="20"/>
                <w:szCs w:val="20"/>
                <w:lang w:eastAsia="pt-BR"/>
              </w:rPr>
              <w:t xml:space="preserve">  </w:t>
            </w:r>
            <w:proofErr w:type="gramEnd"/>
            <w:r w:rsidRPr="0048245E">
              <w:rPr>
                <w:rFonts w:ascii="Times New Roman" w:eastAsia="Times New Roman" w:hAnsi="Times New Roman" w:cs="Times New Roman"/>
                <w:color w:val="333333"/>
                <w:sz w:val="20"/>
                <w:szCs w:val="20"/>
                <w:lang w:eastAsia="pt-BR"/>
              </w:rPr>
              <w:t>novas, que receberem o incentivo financeiro de custeio deverão seguir os quantitativos  mínimos de profissionais estabelecidos nos termos do anexo.</w:t>
            </w:r>
          </w:p>
          <w:p w:rsidR="0048245E" w:rsidRPr="0048245E" w:rsidRDefault="0048245E" w:rsidP="00FB14A4">
            <w:pPr>
              <w:spacing w:after="0" w:line="240" w:lineRule="auto"/>
              <w:ind w:firstLine="708"/>
              <w:jc w:val="both"/>
              <w:rPr>
                <w:rFonts w:ascii="Times New Roman" w:eastAsia="Times New Roman" w:hAnsi="Times New Roman" w:cs="Times New Roman"/>
                <w:color w:val="333333"/>
                <w:sz w:val="20"/>
                <w:szCs w:val="20"/>
                <w:lang w:eastAsia="pt-BR"/>
              </w:rPr>
            </w:pPr>
            <w:r w:rsidRPr="0048245E">
              <w:rPr>
                <w:rFonts w:ascii="Times New Roman" w:eastAsia="Times New Roman" w:hAnsi="Times New Roman" w:cs="Times New Roman"/>
                <w:color w:val="333333"/>
                <w:sz w:val="20"/>
                <w:szCs w:val="20"/>
                <w:lang w:eastAsia="pt-BR"/>
              </w:rPr>
              <w:t xml:space="preserve">Parágrafo único. Os parâmetros numéricos de recursos humanos descritos no Anexo poderão ser modificados, excepcionalmente, por iniciativa do gestor de saúde local e com prévia aprovação da Comissão Intergestores </w:t>
            </w:r>
            <w:proofErr w:type="spellStart"/>
            <w:r w:rsidRPr="0048245E">
              <w:rPr>
                <w:rFonts w:ascii="Times New Roman" w:eastAsia="Times New Roman" w:hAnsi="Times New Roman" w:cs="Times New Roman"/>
                <w:color w:val="333333"/>
                <w:sz w:val="20"/>
                <w:szCs w:val="20"/>
                <w:lang w:eastAsia="pt-BR"/>
              </w:rPr>
              <w:t>Bipartite</w:t>
            </w:r>
            <w:proofErr w:type="spellEnd"/>
            <w:r w:rsidRPr="0048245E">
              <w:rPr>
                <w:rFonts w:ascii="Times New Roman" w:eastAsia="Times New Roman" w:hAnsi="Times New Roman" w:cs="Times New Roman"/>
                <w:color w:val="333333"/>
                <w:sz w:val="20"/>
                <w:szCs w:val="20"/>
                <w:lang w:eastAsia="pt-BR"/>
              </w:rPr>
              <w:t xml:space="preserve"> (CIB) e, se </w:t>
            </w:r>
            <w:proofErr w:type="gramStart"/>
            <w:r w:rsidRPr="0048245E">
              <w:rPr>
                <w:rFonts w:ascii="Times New Roman" w:eastAsia="Times New Roman" w:hAnsi="Times New Roman" w:cs="Times New Roman"/>
                <w:color w:val="333333"/>
                <w:sz w:val="20"/>
                <w:szCs w:val="20"/>
                <w:lang w:eastAsia="pt-BR"/>
              </w:rPr>
              <w:t>houver,</w:t>
            </w:r>
            <w:proofErr w:type="gramEnd"/>
            <w:r w:rsidRPr="0048245E">
              <w:rPr>
                <w:rFonts w:ascii="Times New Roman" w:eastAsia="Times New Roman" w:hAnsi="Times New Roman" w:cs="Times New Roman"/>
                <w:color w:val="333333"/>
                <w:sz w:val="20"/>
                <w:szCs w:val="20"/>
                <w:lang w:eastAsia="pt-BR"/>
              </w:rPr>
              <w:t xml:space="preserve"> da Comissão Intergestores Regional (CIR), com posterior comunicação ao Ministério da Saúde, com base em estudos dos padrões locais das demandas à Central de Regulação, desde que não comprometa a função de regulação e não implique revisão dos respectivos valores do incentivo financeiro de custeio constantes no anexo a esta Portaria.</w:t>
            </w:r>
          </w:p>
          <w:p w:rsidR="0048245E" w:rsidRPr="0048245E" w:rsidRDefault="0048245E" w:rsidP="00FB14A4">
            <w:pPr>
              <w:spacing w:after="0" w:line="240" w:lineRule="auto"/>
              <w:ind w:firstLine="708"/>
              <w:jc w:val="both"/>
              <w:rPr>
                <w:rFonts w:ascii="Times New Roman" w:eastAsia="Times New Roman" w:hAnsi="Times New Roman" w:cs="Times New Roman"/>
                <w:color w:val="333333"/>
                <w:sz w:val="20"/>
                <w:szCs w:val="20"/>
                <w:lang w:eastAsia="pt-BR"/>
              </w:rPr>
            </w:pPr>
            <w:r w:rsidRPr="0048245E">
              <w:rPr>
                <w:rFonts w:ascii="Times New Roman" w:eastAsia="Times New Roman" w:hAnsi="Times New Roman" w:cs="Times New Roman"/>
                <w:color w:val="333333"/>
                <w:sz w:val="20"/>
                <w:szCs w:val="20"/>
                <w:lang w:eastAsia="pt-BR"/>
              </w:rPr>
              <w:t>Art. 8º A responsabilidade pelo custeio das Centrais de Regulação que atenderem ao disposto nesta Portaria será tripartite, da seguinte forma:</w:t>
            </w:r>
          </w:p>
          <w:p w:rsidR="0048245E" w:rsidRPr="0048245E" w:rsidRDefault="0048245E" w:rsidP="00FB14A4">
            <w:pPr>
              <w:spacing w:after="0" w:line="240" w:lineRule="auto"/>
              <w:ind w:firstLine="708"/>
              <w:jc w:val="both"/>
              <w:rPr>
                <w:rFonts w:ascii="Times New Roman" w:eastAsia="Times New Roman" w:hAnsi="Times New Roman" w:cs="Times New Roman"/>
                <w:color w:val="333333"/>
                <w:sz w:val="20"/>
                <w:szCs w:val="20"/>
                <w:lang w:eastAsia="pt-BR"/>
              </w:rPr>
            </w:pPr>
            <w:r w:rsidRPr="0048245E">
              <w:rPr>
                <w:rFonts w:ascii="Times New Roman" w:eastAsia="Times New Roman" w:hAnsi="Times New Roman" w:cs="Times New Roman"/>
                <w:color w:val="333333"/>
                <w:sz w:val="20"/>
                <w:szCs w:val="20"/>
                <w:lang w:eastAsia="pt-BR"/>
              </w:rPr>
              <w:t>I - o Ministério da Saúde responderá pelos valores nominais previstos no Anexo desta Portaria; e</w:t>
            </w:r>
          </w:p>
          <w:p w:rsidR="0048245E" w:rsidRPr="0048245E" w:rsidRDefault="0048245E" w:rsidP="00FB14A4">
            <w:pPr>
              <w:spacing w:after="0" w:line="240" w:lineRule="auto"/>
              <w:ind w:firstLine="708"/>
              <w:jc w:val="both"/>
              <w:rPr>
                <w:rFonts w:ascii="Times New Roman" w:eastAsia="Times New Roman" w:hAnsi="Times New Roman" w:cs="Times New Roman"/>
                <w:color w:val="333333"/>
                <w:sz w:val="20"/>
                <w:szCs w:val="20"/>
                <w:lang w:eastAsia="pt-BR"/>
              </w:rPr>
            </w:pPr>
            <w:r w:rsidRPr="0048245E">
              <w:rPr>
                <w:rFonts w:ascii="Times New Roman" w:eastAsia="Times New Roman" w:hAnsi="Times New Roman" w:cs="Times New Roman"/>
                <w:color w:val="333333"/>
                <w:sz w:val="20"/>
                <w:szCs w:val="20"/>
                <w:lang w:eastAsia="pt-BR"/>
              </w:rPr>
              <w:t>II - a responsabilidade por valores adicionais necessários ao custeio das Centrais de Regulação, além do valor do incentivo financeiro de que trata esta Portaria, será objeto de</w:t>
            </w:r>
            <w:proofErr w:type="gramStart"/>
            <w:r w:rsidRPr="0048245E">
              <w:rPr>
                <w:rFonts w:ascii="Times New Roman" w:eastAsia="Times New Roman" w:hAnsi="Times New Roman" w:cs="Times New Roman"/>
                <w:color w:val="333333"/>
                <w:sz w:val="20"/>
                <w:szCs w:val="20"/>
                <w:lang w:eastAsia="pt-BR"/>
              </w:rPr>
              <w:t xml:space="preserve">  </w:t>
            </w:r>
            <w:proofErr w:type="spellStart"/>
            <w:proofErr w:type="gramEnd"/>
            <w:r w:rsidRPr="0048245E">
              <w:rPr>
                <w:rFonts w:ascii="Times New Roman" w:eastAsia="Times New Roman" w:hAnsi="Times New Roman" w:cs="Times New Roman"/>
                <w:color w:val="333333"/>
                <w:sz w:val="20"/>
                <w:szCs w:val="20"/>
                <w:lang w:eastAsia="pt-BR"/>
              </w:rPr>
              <w:t>pactuação</w:t>
            </w:r>
            <w:proofErr w:type="spellEnd"/>
            <w:r w:rsidRPr="0048245E">
              <w:rPr>
                <w:rFonts w:ascii="Times New Roman" w:eastAsia="Times New Roman" w:hAnsi="Times New Roman" w:cs="Times New Roman"/>
                <w:color w:val="333333"/>
                <w:sz w:val="20"/>
                <w:szCs w:val="20"/>
                <w:lang w:eastAsia="pt-BR"/>
              </w:rPr>
              <w:t xml:space="preserve"> na </w:t>
            </w:r>
            <w:proofErr w:type="spellStart"/>
            <w:r w:rsidRPr="0048245E">
              <w:rPr>
                <w:rFonts w:ascii="Times New Roman" w:eastAsia="Times New Roman" w:hAnsi="Times New Roman" w:cs="Times New Roman"/>
                <w:color w:val="333333"/>
                <w:sz w:val="20"/>
                <w:szCs w:val="20"/>
                <w:lang w:eastAsia="pt-BR"/>
              </w:rPr>
              <w:t>CIBe</w:t>
            </w:r>
            <w:proofErr w:type="spellEnd"/>
            <w:r w:rsidRPr="0048245E">
              <w:rPr>
                <w:rFonts w:ascii="Times New Roman" w:eastAsia="Times New Roman" w:hAnsi="Times New Roman" w:cs="Times New Roman"/>
                <w:color w:val="333333"/>
                <w:sz w:val="20"/>
                <w:szCs w:val="20"/>
                <w:lang w:eastAsia="pt-BR"/>
              </w:rPr>
              <w:t>, se houver, na CIR.</w:t>
            </w:r>
          </w:p>
          <w:p w:rsidR="0048245E" w:rsidRPr="0048245E" w:rsidRDefault="0048245E" w:rsidP="00FB14A4">
            <w:pPr>
              <w:spacing w:after="0" w:line="240" w:lineRule="auto"/>
              <w:ind w:firstLine="708"/>
              <w:jc w:val="both"/>
              <w:rPr>
                <w:rFonts w:ascii="Times New Roman" w:eastAsia="Times New Roman" w:hAnsi="Times New Roman" w:cs="Times New Roman"/>
                <w:color w:val="333333"/>
                <w:sz w:val="20"/>
                <w:szCs w:val="20"/>
                <w:lang w:eastAsia="pt-BR"/>
              </w:rPr>
            </w:pPr>
            <w:r w:rsidRPr="0048245E">
              <w:rPr>
                <w:rFonts w:ascii="Times New Roman" w:eastAsia="Times New Roman" w:hAnsi="Times New Roman" w:cs="Times New Roman"/>
                <w:color w:val="333333"/>
                <w:sz w:val="20"/>
                <w:szCs w:val="20"/>
                <w:lang w:eastAsia="pt-BR"/>
              </w:rPr>
              <w:t xml:space="preserve">Parágrafo único. A participação dos Estados, Distrito Federal e Municípios no custeio das Centrais de Regulação </w:t>
            </w:r>
            <w:proofErr w:type="gramStart"/>
            <w:r w:rsidRPr="0048245E">
              <w:rPr>
                <w:rFonts w:ascii="Times New Roman" w:eastAsia="Times New Roman" w:hAnsi="Times New Roman" w:cs="Times New Roman"/>
                <w:color w:val="333333"/>
                <w:sz w:val="20"/>
                <w:szCs w:val="20"/>
                <w:lang w:eastAsia="pt-BR"/>
              </w:rPr>
              <w:t>será informada</w:t>
            </w:r>
            <w:proofErr w:type="gramEnd"/>
            <w:r w:rsidRPr="0048245E">
              <w:rPr>
                <w:rFonts w:ascii="Times New Roman" w:eastAsia="Times New Roman" w:hAnsi="Times New Roman" w:cs="Times New Roman"/>
                <w:color w:val="333333"/>
                <w:sz w:val="20"/>
                <w:szCs w:val="20"/>
                <w:lang w:eastAsia="pt-BR"/>
              </w:rPr>
              <w:t xml:space="preserve"> pelo gestor de saúde na proposta de habilitação ao recebimento do incentivo financeiro de que trata esta Portaria.</w:t>
            </w:r>
          </w:p>
          <w:p w:rsidR="0048245E" w:rsidRPr="0048245E" w:rsidRDefault="0048245E" w:rsidP="00FB14A4">
            <w:pPr>
              <w:spacing w:after="0" w:line="240" w:lineRule="auto"/>
              <w:ind w:firstLine="708"/>
              <w:jc w:val="both"/>
              <w:rPr>
                <w:rFonts w:ascii="Times New Roman" w:eastAsia="Times New Roman" w:hAnsi="Times New Roman" w:cs="Times New Roman"/>
                <w:color w:val="333333"/>
                <w:sz w:val="20"/>
                <w:szCs w:val="20"/>
                <w:lang w:eastAsia="pt-BR"/>
              </w:rPr>
            </w:pPr>
            <w:r w:rsidRPr="0048245E">
              <w:rPr>
                <w:rFonts w:ascii="Times New Roman" w:eastAsia="Times New Roman" w:hAnsi="Times New Roman" w:cs="Times New Roman"/>
                <w:color w:val="333333"/>
                <w:sz w:val="20"/>
                <w:szCs w:val="20"/>
                <w:lang w:eastAsia="pt-BR"/>
              </w:rPr>
              <w:t>Art. 9º Em caso de restrição orçamentária que atinja o repasse do incentivo financeiro de custeio de que trata esta Portaria, o deferimento da habilitação ao seu recebimento observará a seguinte ordem decrescente de prioridade:</w:t>
            </w:r>
          </w:p>
          <w:p w:rsidR="0048245E" w:rsidRPr="0048245E" w:rsidRDefault="0048245E" w:rsidP="00FB14A4">
            <w:pPr>
              <w:spacing w:after="0" w:line="240" w:lineRule="auto"/>
              <w:ind w:firstLine="708"/>
              <w:jc w:val="both"/>
              <w:rPr>
                <w:rFonts w:ascii="Times New Roman" w:eastAsia="Times New Roman" w:hAnsi="Times New Roman" w:cs="Times New Roman"/>
                <w:color w:val="333333"/>
                <w:sz w:val="20"/>
                <w:szCs w:val="20"/>
                <w:lang w:eastAsia="pt-BR"/>
              </w:rPr>
            </w:pPr>
            <w:r w:rsidRPr="0048245E">
              <w:rPr>
                <w:rFonts w:ascii="Times New Roman" w:eastAsia="Times New Roman" w:hAnsi="Times New Roman" w:cs="Times New Roman"/>
                <w:color w:val="333333"/>
                <w:sz w:val="20"/>
                <w:szCs w:val="20"/>
                <w:lang w:eastAsia="pt-BR"/>
              </w:rPr>
              <w:t>I - Centrais de Regulação das Regiões de Saúde e capitais onde houver implantação de planos de ação das redes temáticas assistenciais;</w:t>
            </w:r>
          </w:p>
          <w:p w:rsidR="0048245E" w:rsidRPr="0048245E" w:rsidRDefault="0048245E" w:rsidP="00FB14A4">
            <w:pPr>
              <w:spacing w:after="0" w:line="240" w:lineRule="auto"/>
              <w:ind w:left="708"/>
              <w:jc w:val="both"/>
              <w:rPr>
                <w:rFonts w:ascii="Times New Roman" w:eastAsia="Times New Roman" w:hAnsi="Times New Roman" w:cs="Times New Roman"/>
                <w:color w:val="333333"/>
                <w:sz w:val="20"/>
                <w:szCs w:val="20"/>
                <w:lang w:eastAsia="pt-BR"/>
              </w:rPr>
            </w:pPr>
            <w:r w:rsidRPr="0048245E">
              <w:rPr>
                <w:rFonts w:ascii="Times New Roman" w:eastAsia="Times New Roman" w:hAnsi="Times New Roman" w:cs="Times New Roman"/>
                <w:color w:val="333333"/>
                <w:sz w:val="20"/>
                <w:szCs w:val="20"/>
                <w:lang w:eastAsia="pt-BR"/>
              </w:rPr>
              <w:t>II - Centrais de Regulação das capitais; e</w:t>
            </w:r>
          </w:p>
          <w:p w:rsidR="0048245E" w:rsidRPr="0048245E" w:rsidRDefault="0048245E" w:rsidP="00FB14A4">
            <w:pPr>
              <w:spacing w:after="0" w:line="240" w:lineRule="auto"/>
              <w:ind w:left="708"/>
              <w:jc w:val="both"/>
              <w:rPr>
                <w:rFonts w:ascii="Times New Roman" w:eastAsia="Times New Roman" w:hAnsi="Times New Roman" w:cs="Times New Roman"/>
                <w:color w:val="333333"/>
                <w:sz w:val="20"/>
                <w:szCs w:val="20"/>
                <w:lang w:eastAsia="pt-BR"/>
              </w:rPr>
            </w:pPr>
            <w:r w:rsidRPr="0048245E">
              <w:rPr>
                <w:rFonts w:ascii="Times New Roman" w:eastAsia="Times New Roman" w:hAnsi="Times New Roman" w:cs="Times New Roman"/>
                <w:color w:val="333333"/>
                <w:sz w:val="20"/>
                <w:szCs w:val="20"/>
                <w:lang w:eastAsia="pt-BR"/>
              </w:rPr>
              <w:t>III - demais Centrais de Regulação.</w:t>
            </w:r>
          </w:p>
          <w:p w:rsidR="0048245E" w:rsidRPr="0048245E" w:rsidRDefault="0048245E" w:rsidP="00FB14A4">
            <w:pPr>
              <w:spacing w:after="0" w:line="240" w:lineRule="auto"/>
              <w:ind w:firstLine="708"/>
              <w:jc w:val="both"/>
              <w:rPr>
                <w:rFonts w:ascii="Times New Roman" w:eastAsia="Times New Roman" w:hAnsi="Times New Roman" w:cs="Times New Roman"/>
                <w:color w:val="333333"/>
                <w:sz w:val="20"/>
                <w:szCs w:val="20"/>
                <w:lang w:eastAsia="pt-BR"/>
              </w:rPr>
            </w:pPr>
            <w:r w:rsidRPr="0048245E">
              <w:rPr>
                <w:rFonts w:ascii="Times New Roman" w:eastAsia="Times New Roman" w:hAnsi="Times New Roman" w:cs="Times New Roman"/>
                <w:color w:val="333333"/>
                <w:sz w:val="20"/>
                <w:szCs w:val="20"/>
                <w:lang w:eastAsia="pt-BR"/>
              </w:rPr>
              <w:t>Art. 10. A proposta de habilitação ao recebimento do incentivo financeiro de que trata</w:t>
            </w:r>
            <w:proofErr w:type="gramStart"/>
            <w:r w:rsidRPr="0048245E">
              <w:rPr>
                <w:rFonts w:ascii="Times New Roman" w:eastAsia="Times New Roman" w:hAnsi="Times New Roman" w:cs="Times New Roman"/>
                <w:color w:val="333333"/>
                <w:sz w:val="20"/>
                <w:szCs w:val="20"/>
                <w:lang w:eastAsia="pt-BR"/>
              </w:rPr>
              <w:t xml:space="preserve">  </w:t>
            </w:r>
            <w:proofErr w:type="gramEnd"/>
            <w:r w:rsidRPr="0048245E">
              <w:rPr>
                <w:rFonts w:ascii="Times New Roman" w:eastAsia="Times New Roman" w:hAnsi="Times New Roman" w:cs="Times New Roman"/>
                <w:color w:val="333333"/>
                <w:sz w:val="20"/>
                <w:szCs w:val="20"/>
                <w:lang w:eastAsia="pt-BR"/>
              </w:rPr>
              <w:t>esta Portaria será apresentada por Estados, Distrito Federal e Municípios ao DRAC/SAS/MS por meio de formulário que conterá campos próprios para todos os requisitos e compromissos exigidos nesta Portaria.</w:t>
            </w:r>
          </w:p>
          <w:p w:rsidR="0048245E" w:rsidRPr="0048245E" w:rsidRDefault="0048245E" w:rsidP="00FB14A4">
            <w:pPr>
              <w:spacing w:after="0" w:line="240" w:lineRule="auto"/>
              <w:ind w:firstLine="708"/>
              <w:jc w:val="both"/>
              <w:rPr>
                <w:rFonts w:ascii="Times New Roman" w:eastAsia="Times New Roman" w:hAnsi="Times New Roman" w:cs="Times New Roman"/>
                <w:color w:val="333333"/>
                <w:sz w:val="20"/>
                <w:szCs w:val="20"/>
                <w:lang w:eastAsia="pt-BR"/>
              </w:rPr>
            </w:pPr>
            <w:r w:rsidRPr="0048245E">
              <w:rPr>
                <w:rFonts w:ascii="Times New Roman" w:eastAsia="Times New Roman" w:hAnsi="Times New Roman" w:cs="Times New Roman"/>
                <w:color w:val="333333"/>
                <w:sz w:val="20"/>
                <w:szCs w:val="20"/>
                <w:lang w:eastAsia="pt-BR"/>
              </w:rPr>
              <w:t>§ 1º O formulário de que trata o caput estará disponível no endereço eletrônico</w:t>
            </w:r>
            <w:proofErr w:type="gramStart"/>
            <w:r w:rsidRPr="0048245E">
              <w:rPr>
                <w:rFonts w:ascii="Times New Roman" w:eastAsia="Times New Roman" w:hAnsi="Times New Roman" w:cs="Times New Roman"/>
                <w:color w:val="333333"/>
                <w:sz w:val="20"/>
                <w:szCs w:val="20"/>
                <w:lang w:eastAsia="pt-BR"/>
              </w:rPr>
              <w:t xml:space="preserve">  </w:t>
            </w:r>
            <w:proofErr w:type="gramEnd"/>
            <w:r w:rsidRPr="0048245E">
              <w:rPr>
                <w:rFonts w:ascii="Times New Roman" w:eastAsia="Times New Roman" w:hAnsi="Times New Roman" w:cs="Times New Roman"/>
                <w:color w:val="333333"/>
                <w:sz w:val="20"/>
                <w:szCs w:val="20"/>
                <w:lang w:eastAsia="pt-BR"/>
              </w:rPr>
              <w:t>http://portal.saude.gov.br/portal/saude/profissional/area.cfm?</w:t>
            </w:r>
            <w:proofErr w:type="gramStart"/>
            <w:r w:rsidRPr="0048245E">
              <w:rPr>
                <w:rFonts w:ascii="Times New Roman" w:eastAsia="Times New Roman" w:hAnsi="Times New Roman" w:cs="Times New Roman"/>
                <w:color w:val="333333"/>
                <w:sz w:val="20"/>
                <w:szCs w:val="20"/>
                <w:lang w:eastAsia="pt-BR"/>
              </w:rPr>
              <w:t>id_area</w:t>
            </w:r>
            <w:proofErr w:type="gramEnd"/>
            <w:r w:rsidRPr="0048245E">
              <w:rPr>
                <w:rFonts w:ascii="Times New Roman" w:eastAsia="Times New Roman" w:hAnsi="Times New Roman" w:cs="Times New Roman"/>
                <w:color w:val="333333"/>
                <w:sz w:val="20"/>
                <w:szCs w:val="20"/>
                <w:lang w:eastAsia="pt-BR"/>
              </w:rPr>
              <w:t>=1006, que conterá também as instruções de envio ao DRAC/SAS/MS.</w:t>
            </w:r>
          </w:p>
          <w:p w:rsidR="0048245E" w:rsidRPr="0048245E" w:rsidRDefault="0048245E" w:rsidP="00FB14A4">
            <w:pPr>
              <w:spacing w:after="0" w:line="240" w:lineRule="auto"/>
              <w:ind w:firstLine="708"/>
              <w:jc w:val="both"/>
              <w:rPr>
                <w:rFonts w:ascii="Times New Roman" w:eastAsia="Times New Roman" w:hAnsi="Times New Roman" w:cs="Times New Roman"/>
                <w:color w:val="333333"/>
                <w:sz w:val="20"/>
                <w:szCs w:val="20"/>
                <w:lang w:eastAsia="pt-BR"/>
              </w:rPr>
            </w:pPr>
            <w:r w:rsidRPr="0048245E">
              <w:rPr>
                <w:rFonts w:ascii="Times New Roman" w:eastAsia="Times New Roman" w:hAnsi="Times New Roman" w:cs="Times New Roman"/>
                <w:color w:val="333333"/>
                <w:sz w:val="20"/>
                <w:szCs w:val="20"/>
                <w:lang w:eastAsia="pt-BR"/>
              </w:rPr>
              <w:t xml:space="preserve">§ 2º A proposta de que trata o caput somente será encaminhada com a prévia aprovação das CIB e, se </w:t>
            </w:r>
            <w:proofErr w:type="gramStart"/>
            <w:r w:rsidRPr="0048245E">
              <w:rPr>
                <w:rFonts w:ascii="Times New Roman" w:eastAsia="Times New Roman" w:hAnsi="Times New Roman" w:cs="Times New Roman"/>
                <w:color w:val="333333"/>
                <w:sz w:val="20"/>
                <w:szCs w:val="20"/>
                <w:lang w:eastAsia="pt-BR"/>
              </w:rPr>
              <w:t>houver,</w:t>
            </w:r>
            <w:proofErr w:type="gramEnd"/>
            <w:r w:rsidRPr="0048245E">
              <w:rPr>
                <w:rFonts w:ascii="Times New Roman" w:eastAsia="Times New Roman" w:hAnsi="Times New Roman" w:cs="Times New Roman"/>
                <w:color w:val="333333"/>
                <w:sz w:val="20"/>
                <w:szCs w:val="20"/>
                <w:lang w:eastAsia="pt-BR"/>
              </w:rPr>
              <w:t xml:space="preserve"> das CIR.</w:t>
            </w:r>
          </w:p>
          <w:p w:rsidR="0048245E" w:rsidRPr="0048245E" w:rsidRDefault="0048245E" w:rsidP="00FB14A4">
            <w:pPr>
              <w:spacing w:after="0" w:line="240" w:lineRule="auto"/>
              <w:ind w:firstLine="708"/>
              <w:jc w:val="both"/>
              <w:rPr>
                <w:rFonts w:ascii="Times New Roman" w:eastAsia="Times New Roman" w:hAnsi="Times New Roman" w:cs="Times New Roman"/>
                <w:color w:val="333333"/>
                <w:sz w:val="20"/>
                <w:szCs w:val="20"/>
                <w:lang w:eastAsia="pt-BR"/>
              </w:rPr>
            </w:pPr>
            <w:r w:rsidRPr="0048245E">
              <w:rPr>
                <w:rFonts w:ascii="Times New Roman" w:eastAsia="Times New Roman" w:hAnsi="Times New Roman" w:cs="Times New Roman"/>
                <w:color w:val="333333"/>
                <w:sz w:val="20"/>
                <w:szCs w:val="20"/>
                <w:lang w:eastAsia="pt-BR"/>
              </w:rPr>
              <w:t>§ 3º A responsabilidade pela veracidade das informações declaradas no formulário de</w:t>
            </w:r>
            <w:proofErr w:type="gramStart"/>
            <w:r w:rsidRPr="0048245E">
              <w:rPr>
                <w:rFonts w:ascii="Times New Roman" w:eastAsia="Times New Roman" w:hAnsi="Times New Roman" w:cs="Times New Roman"/>
                <w:color w:val="333333"/>
                <w:sz w:val="20"/>
                <w:szCs w:val="20"/>
                <w:lang w:eastAsia="pt-BR"/>
              </w:rPr>
              <w:t xml:space="preserve">  </w:t>
            </w:r>
            <w:proofErr w:type="gramEnd"/>
            <w:r w:rsidRPr="0048245E">
              <w:rPr>
                <w:rFonts w:ascii="Times New Roman" w:eastAsia="Times New Roman" w:hAnsi="Times New Roman" w:cs="Times New Roman"/>
                <w:color w:val="333333"/>
                <w:sz w:val="20"/>
                <w:szCs w:val="20"/>
                <w:lang w:eastAsia="pt-BR"/>
              </w:rPr>
              <w:t>que trata o caput será do gestor de saúde que encaminhar a proposta.</w:t>
            </w:r>
          </w:p>
          <w:p w:rsidR="0048245E" w:rsidRPr="0048245E" w:rsidRDefault="0048245E" w:rsidP="00FB14A4">
            <w:pPr>
              <w:spacing w:after="0" w:line="240" w:lineRule="auto"/>
              <w:ind w:firstLine="708"/>
              <w:jc w:val="both"/>
              <w:rPr>
                <w:rFonts w:ascii="Times New Roman" w:eastAsia="Times New Roman" w:hAnsi="Times New Roman" w:cs="Times New Roman"/>
                <w:color w:val="333333"/>
                <w:sz w:val="20"/>
                <w:szCs w:val="20"/>
                <w:lang w:eastAsia="pt-BR"/>
              </w:rPr>
            </w:pPr>
            <w:r w:rsidRPr="0048245E">
              <w:rPr>
                <w:rFonts w:ascii="Times New Roman" w:eastAsia="Times New Roman" w:hAnsi="Times New Roman" w:cs="Times New Roman"/>
                <w:color w:val="333333"/>
                <w:sz w:val="20"/>
                <w:szCs w:val="20"/>
                <w:lang w:eastAsia="pt-BR"/>
              </w:rPr>
              <w:t>Art. 11. Após aprovada a proposta de habilitação pelo DRAC/SAS/MS, será publicada Portaria específica que definirá os incentivos financeiros a serem transferidos aos Estados, Distrito Federal e Municípios para custeio das Centrais de Regulação contempladas.</w:t>
            </w:r>
          </w:p>
          <w:p w:rsidR="0048245E" w:rsidRPr="0048245E" w:rsidRDefault="0048245E" w:rsidP="00FB14A4">
            <w:pPr>
              <w:spacing w:after="0" w:line="240" w:lineRule="auto"/>
              <w:ind w:firstLine="708"/>
              <w:jc w:val="both"/>
              <w:rPr>
                <w:rFonts w:ascii="Times New Roman" w:eastAsia="Times New Roman" w:hAnsi="Times New Roman" w:cs="Times New Roman"/>
                <w:color w:val="333333"/>
                <w:sz w:val="20"/>
                <w:szCs w:val="20"/>
                <w:lang w:eastAsia="pt-BR"/>
              </w:rPr>
            </w:pPr>
            <w:r w:rsidRPr="0048245E">
              <w:rPr>
                <w:rFonts w:ascii="Times New Roman" w:eastAsia="Times New Roman" w:hAnsi="Times New Roman" w:cs="Times New Roman"/>
                <w:color w:val="333333"/>
                <w:sz w:val="20"/>
                <w:szCs w:val="20"/>
                <w:lang w:eastAsia="pt-BR"/>
              </w:rPr>
              <w:t xml:space="preserve">Art. 12. Os recursos de que trata esta Portaria serão repassados mensal e regularmente do Fundo Nacional de Saúde (FNS) para os Fundos de Saúde estaduais, </w:t>
            </w:r>
            <w:proofErr w:type="gramStart"/>
            <w:r w:rsidRPr="0048245E">
              <w:rPr>
                <w:rFonts w:ascii="Times New Roman" w:eastAsia="Times New Roman" w:hAnsi="Times New Roman" w:cs="Times New Roman"/>
                <w:color w:val="333333"/>
                <w:sz w:val="20"/>
                <w:szCs w:val="20"/>
                <w:lang w:eastAsia="pt-BR"/>
              </w:rPr>
              <w:t>distrital e municipais</w:t>
            </w:r>
            <w:proofErr w:type="gramEnd"/>
            <w:r w:rsidRPr="0048245E">
              <w:rPr>
                <w:rFonts w:ascii="Times New Roman" w:eastAsia="Times New Roman" w:hAnsi="Times New Roman" w:cs="Times New Roman"/>
                <w:color w:val="333333"/>
                <w:sz w:val="20"/>
                <w:szCs w:val="20"/>
                <w:lang w:eastAsia="pt-BR"/>
              </w:rPr>
              <w:t>.</w:t>
            </w:r>
          </w:p>
          <w:p w:rsidR="0048245E" w:rsidRPr="0048245E" w:rsidRDefault="0048245E" w:rsidP="00FB14A4">
            <w:pPr>
              <w:spacing w:after="0" w:line="240" w:lineRule="auto"/>
              <w:ind w:firstLine="708"/>
              <w:jc w:val="both"/>
              <w:rPr>
                <w:rFonts w:ascii="Times New Roman" w:eastAsia="Times New Roman" w:hAnsi="Times New Roman" w:cs="Times New Roman"/>
                <w:color w:val="333333"/>
                <w:sz w:val="20"/>
                <w:szCs w:val="20"/>
                <w:lang w:eastAsia="pt-BR"/>
              </w:rPr>
            </w:pPr>
            <w:r w:rsidRPr="0048245E">
              <w:rPr>
                <w:rFonts w:ascii="Times New Roman" w:eastAsia="Times New Roman" w:hAnsi="Times New Roman" w:cs="Times New Roman"/>
                <w:color w:val="333333"/>
                <w:sz w:val="20"/>
                <w:szCs w:val="20"/>
                <w:lang w:eastAsia="pt-BR"/>
              </w:rPr>
              <w:t>Art. 13. O monitoramento e a avaliação do cumprimento dos compromissos firmados pelos gestores nas propostas aprovadas ficarão a cargo da Coordenação-Geral de Regulação e Avaliação (CGRA/DRAC/SAS/MS).</w:t>
            </w:r>
          </w:p>
          <w:p w:rsidR="0048245E" w:rsidRPr="0048245E" w:rsidRDefault="0048245E" w:rsidP="00FB14A4">
            <w:pPr>
              <w:spacing w:after="0" w:line="240" w:lineRule="auto"/>
              <w:ind w:firstLine="708"/>
              <w:jc w:val="both"/>
              <w:rPr>
                <w:rFonts w:ascii="Times New Roman" w:eastAsia="Times New Roman" w:hAnsi="Times New Roman" w:cs="Times New Roman"/>
                <w:color w:val="333333"/>
                <w:sz w:val="20"/>
                <w:szCs w:val="20"/>
                <w:lang w:eastAsia="pt-BR"/>
              </w:rPr>
            </w:pPr>
            <w:r w:rsidRPr="0048245E">
              <w:rPr>
                <w:rFonts w:ascii="Times New Roman" w:eastAsia="Times New Roman" w:hAnsi="Times New Roman" w:cs="Times New Roman"/>
                <w:color w:val="333333"/>
                <w:sz w:val="20"/>
                <w:szCs w:val="20"/>
                <w:lang w:eastAsia="pt-BR"/>
              </w:rPr>
              <w:t>Art. 14. O descumprimento dos compromissos assumidos na proposta aprovada</w:t>
            </w:r>
            <w:proofErr w:type="gramStart"/>
            <w:r w:rsidRPr="0048245E">
              <w:rPr>
                <w:rFonts w:ascii="Times New Roman" w:eastAsia="Times New Roman" w:hAnsi="Times New Roman" w:cs="Times New Roman"/>
                <w:color w:val="333333"/>
                <w:sz w:val="20"/>
                <w:szCs w:val="20"/>
                <w:lang w:eastAsia="pt-BR"/>
              </w:rPr>
              <w:t xml:space="preserve">  </w:t>
            </w:r>
            <w:proofErr w:type="gramEnd"/>
            <w:r w:rsidRPr="0048245E">
              <w:rPr>
                <w:rFonts w:ascii="Times New Roman" w:eastAsia="Times New Roman" w:hAnsi="Times New Roman" w:cs="Times New Roman"/>
                <w:color w:val="333333"/>
                <w:sz w:val="20"/>
                <w:szCs w:val="20"/>
                <w:lang w:eastAsia="pt-BR"/>
              </w:rPr>
              <w:t>acarretará a suspensão do repasse do incentivo financeiro de que trata esta Portaria.</w:t>
            </w:r>
          </w:p>
          <w:p w:rsidR="0048245E" w:rsidRPr="0048245E" w:rsidRDefault="0048245E" w:rsidP="00FB14A4">
            <w:pPr>
              <w:spacing w:after="0" w:line="240" w:lineRule="auto"/>
              <w:ind w:firstLine="708"/>
              <w:jc w:val="both"/>
              <w:rPr>
                <w:rFonts w:ascii="Times New Roman" w:eastAsia="Times New Roman" w:hAnsi="Times New Roman" w:cs="Times New Roman"/>
                <w:color w:val="333333"/>
                <w:sz w:val="20"/>
                <w:szCs w:val="20"/>
                <w:lang w:eastAsia="pt-BR"/>
              </w:rPr>
            </w:pPr>
            <w:r w:rsidRPr="0048245E">
              <w:rPr>
                <w:rFonts w:ascii="Times New Roman" w:eastAsia="Times New Roman" w:hAnsi="Times New Roman" w:cs="Times New Roman"/>
                <w:color w:val="333333"/>
                <w:sz w:val="20"/>
                <w:szCs w:val="20"/>
                <w:lang w:eastAsia="pt-BR"/>
              </w:rPr>
              <w:t xml:space="preserve">Art. 15. Os recursos financeiros para o custeio do disposto nesta Portaria são oriundos do orçamento do Ministério da Saúde, devendo onerar o Programa de Trabalho: 10.302.0016.8721 – </w:t>
            </w:r>
            <w:proofErr w:type="gramStart"/>
            <w:r w:rsidRPr="0048245E">
              <w:rPr>
                <w:rFonts w:ascii="Times New Roman" w:eastAsia="Times New Roman" w:hAnsi="Times New Roman" w:cs="Times New Roman"/>
                <w:color w:val="333333"/>
                <w:sz w:val="20"/>
                <w:szCs w:val="20"/>
                <w:lang w:eastAsia="pt-BR"/>
              </w:rPr>
              <w:t>Implementação</w:t>
            </w:r>
            <w:proofErr w:type="gramEnd"/>
            <w:r w:rsidRPr="0048245E">
              <w:rPr>
                <w:rFonts w:ascii="Times New Roman" w:eastAsia="Times New Roman" w:hAnsi="Times New Roman" w:cs="Times New Roman"/>
                <w:color w:val="333333"/>
                <w:sz w:val="20"/>
                <w:szCs w:val="20"/>
                <w:lang w:eastAsia="pt-BR"/>
              </w:rPr>
              <w:t xml:space="preserve"> da Regulação, Controle e Avaliação da Atenção à Saúde.</w:t>
            </w:r>
          </w:p>
          <w:p w:rsidR="0048245E" w:rsidRPr="0048245E" w:rsidRDefault="0048245E" w:rsidP="00FB14A4">
            <w:pPr>
              <w:spacing w:after="0" w:line="240" w:lineRule="auto"/>
              <w:ind w:firstLine="708"/>
              <w:jc w:val="both"/>
              <w:rPr>
                <w:rFonts w:ascii="Times New Roman" w:eastAsia="Times New Roman" w:hAnsi="Times New Roman" w:cs="Times New Roman"/>
                <w:color w:val="333333"/>
                <w:sz w:val="20"/>
                <w:szCs w:val="20"/>
                <w:lang w:eastAsia="pt-BR"/>
              </w:rPr>
            </w:pPr>
            <w:r w:rsidRPr="0048245E">
              <w:rPr>
                <w:rFonts w:ascii="Times New Roman" w:eastAsia="Times New Roman" w:hAnsi="Times New Roman" w:cs="Times New Roman"/>
                <w:color w:val="333333"/>
                <w:sz w:val="20"/>
                <w:szCs w:val="20"/>
                <w:lang w:eastAsia="pt-BR"/>
              </w:rPr>
              <w:t>Parágrafo único. Excetua-se do disposto no caput o custeio adicional a ser efetuado</w:t>
            </w:r>
            <w:proofErr w:type="gramStart"/>
            <w:r w:rsidRPr="0048245E">
              <w:rPr>
                <w:rFonts w:ascii="Times New Roman" w:eastAsia="Times New Roman" w:hAnsi="Times New Roman" w:cs="Times New Roman"/>
                <w:color w:val="333333"/>
                <w:sz w:val="20"/>
                <w:szCs w:val="20"/>
                <w:lang w:eastAsia="pt-BR"/>
              </w:rPr>
              <w:t xml:space="preserve">  </w:t>
            </w:r>
            <w:proofErr w:type="gramEnd"/>
            <w:r w:rsidRPr="0048245E">
              <w:rPr>
                <w:rFonts w:ascii="Times New Roman" w:eastAsia="Times New Roman" w:hAnsi="Times New Roman" w:cs="Times New Roman"/>
                <w:color w:val="333333"/>
                <w:sz w:val="20"/>
                <w:szCs w:val="20"/>
                <w:lang w:eastAsia="pt-BR"/>
              </w:rPr>
              <w:t>pelos Estados, Distrito Federal e Municípios nos termos do inciso II e parágrafo único do art. 8º.</w:t>
            </w:r>
          </w:p>
          <w:p w:rsidR="0048245E" w:rsidRDefault="0048245E" w:rsidP="00FB14A4">
            <w:pPr>
              <w:spacing w:after="0" w:line="240" w:lineRule="auto"/>
              <w:ind w:firstLine="708"/>
              <w:jc w:val="both"/>
              <w:rPr>
                <w:rFonts w:ascii="Times New Roman" w:eastAsia="Times New Roman" w:hAnsi="Times New Roman" w:cs="Times New Roman"/>
                <w:color w:val="333333"/>
                <w:sz w:val="20"/>
                <w:szCs w:val="20"/>
                <w:lang w:eastAsia="pt-BR"/>
              </w:rPr>
            </w:pPr>
            <w:r w:rsidRPr="0048245E">
              <w:rPr>
                <w:rFonts w:ascii="Times New Roman" w:eastAsia="Times New Roman" w:hAnsi="Times New Roman" w:cs="Times New Roman"/>
                <w:color w:val="333333"/>
                <w:sz w:val="20"/>
                <w:szCs w:val="20"/>
                <w:lang w:eastAsia="pt-BR"/>
              </w:rPr>
              <w:t>Art. 16. Esta Portaria entra em vigor na data de sua publicação.</w:t>
            </w:r>
          </w:p>
          <w:p w:rsidR="00FB14A4" w:rsidRPr="0048245E" w:rsidRDefault="00FB14A4" w:rsidP="00FB14A4">
            <w:pPr>
              <w:spacing w:after="0" w:line="240" w:lineRule="auto"/>
              <w:ind w:firstLine="708"/>
              <w:jc w:val="both"/>
              <w:rPr>
                <w:rFonts w:ascii="Times New Roman" w:eastAsia="Times New Roman" w:hAnsi="Times New Roman" w:cs="Times New Roman"/>
                <w:color w:val="333333"/>
                <w:sz w:val="20"/>
                <w:szCs w:val="20"/>
                <w:lang w:eastAsia="pt-BR"/>
              </w:rPr>
            </w:pPr>
          </w:p>
          <w:p w:rsidR="0048245E" w:rsidRPr="0048245E" w:rsidRDefault="0048245E" w:rsidP="00FB14A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20"/>
                <w:szCs w:val="20"/>
                <w:lang w:eastAsia="pt-BR"/>
              </w:rPr>
            </w:pPr>
            <w:proofErr w:type="gramStart"/>
            <w:r w:rsidRPr="0048245E">
              <w:rPr>
                <w:rFonts w:ascii="Times New Roman" w:eastAsia="Times New Roman" w:hAnsi="Times New Roman" w:cs="Times New Roman"/>
                <w:color w:val="333333"/>
                <w:sz w:val="20"/>
                <w:szCs w:val="20"/>
                <w:lang w:eastAsia="pt-BR"/>
              </w:rPr>
              <w:t>ROCHA SANTOS</w:t>
            </w:r>
            <w:proofErr w:type="gramEnd"/>
            <w:r w:rsidRPr="0048245E">
              <w:rPr>
                <w:rFonts w:ascii="Times New Roman" w:eastAsia="Times New Roman" w:hAnsi="Times New Roman" w:cs="Times New Roman"/>
                <w:color w:val="333333"/>
                <w:sz w:val="20"/>
                <w:szCs w:val="20"/>
                <w:lang w:eastAsia="pt-BR"/>
              </w:rPr>
              <w:t xml:space="preserve"> PADILHA</w:t>
            </w:r>
          </w:p>
          <w:p w:rsidR="0048245E" w:rsidRDefault="0048245E" w:rsidP="00FB14A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20"/>
                <w:szCs w:val="20"/>
                <w:lang w:eastAsia="pt-BR"/>
              </w:rPr>
            </w:pPr>
            <w:r w:rsidRPr="0048245E">
              <w:rPr>
                <w:rFonts w:ascii="Times New Roman" w:eastAsia="Times New Roman" w:hAnsi="Times New Roman" w:cs="Times New Roman"/>
                <w:color w:val="333333"/>
                <w:sz w:val="20"/>
                <w:szCs w:val="20"/>
                <w:lang w:eastAsia="pt-BR"/>
              </w:rPr>
              <w:t> </w:t>
            </w:r>
          </w:p>
          <w:p w:rsidR="00FB14A4" w:rsidRDefault="00FB14A4" w:rsidP="00FB14A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20"/>
                <w:szCs w:val="20"/>
                <w:lang w:eastAsia="pt-BR"/>
              </w:rPr>
            </w:pPr>
          </w:p>
          <w:p w:rsidR="00FB14A4" w:rsidRDefault="00FB14A4" w:rsidP="00FB14A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20"/>
                <w:szCs w:val="20"/>
                <w:lang w:eastAsia="pt-BR"/>
              </w:rPr>
            </w:pPr>
          </w:p>
          <w:p w:rsidR="00FB14A4" w:rsidRPr="0048245E" w:rsidRDefault="00FB14A4" w:rsidP="00FB14A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20"/>
                <w:szCs w:val="20"/>
                <w:lang w:eastAsia="pt-BR"/>
              </w:rPr>
            </w:pPr>
          </w:p>
          <w:p w:rsidR="00FB14A4" w:rsidRDefault="00FB14A4" w:rsidP="00FB14A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20"/>
                <w:szCs w:val="20"/>
                <w:lang w:eastAsia="pt-BR"/>
              </w:rPr>
            </w:pPr>
          </w:p>
          <w:p w:rsidR="00FB14A4" w:rsidRDefault="00FB14A4" w:rsidP="00FB14A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20"/>
                <w:szCs w:val="20"/>
                <w:lang w:eastAsia="pt-BR"/>
              </w:rPr>
            </w:pPr>
          </w:p>
          <w:p w:rsidR="00FB14A4" w:rsidRDefault="00FB14A4" w:rsidP="00FB14A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20"/>
                <w:szCs w:val="20"/>
                <w:lang w:eastAsia="pt-BR"/>
              </w:rPr>
            </w:pPr>
          </w:p>
          <w:p w:rsidR="00FB14A4" w:rsidRDefault="00FB14A4" w:rsidP="00FB14A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20"/>
                <w:szCs w:val="20"/>
                <w:lang w:eastAsia="pt-BR"/>
              </w:rPr>
            </w:pPr>
          </w:p>
          <w:p w:rsidR="0048245E" w:rsidRPr="0048245E" w:rsidRDefault="0048245E" w:rsidP="00FB14A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20"/>
                <w:szCs w:val="20"/>
                <w:lang w:eastAsia="pt-BR"/>
              </w:rPr>
            </w:pPr>
            <w:r w:rsidRPr="0048245E">
              <w:rPr>
                <w:rFonts w:ascii="Times New Roman" w:eastAsia="Times New Roman" w:hAnsi="Times New Roman" w:cs="Times New Roman"/>
                <w:color w:val="333333"/>
                <w:sz w:val="20"/>
                <w:szCs w:val="20"/>
                <w:lang w:eastAsia="pt-BR"/>
              </w:rPr>
              <w:lastRenderedPageBreak/>
              <w:t>ANEXO</w:t>
            </w:r>
          </w:p>
          <w:p w:rsidR="0048245E" w:rsidRPr="0048245E" w:rsidRDefault="0048245E" w:rsidP="00FB14A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20"/>
                <w:szCs w:val="20"/>
                <w:lang w:eastAsia="pt-BR"/>
              </w:rPr>
            </w:pPr>
            <w:r w:rsidRPr="0048245E">
              <w:rPr>
                <w:rFonts w:ascii="Times New Roman" w:eastAsia="Times New Roman" w:hAnsi="Times New Roman" w:cs="Times New Roman"/>
                <w:color w:val="333333"/>
                <w:sz w:val="20"/>
                <w:szCs w:val="20"/>
                <w:lang w:eastAsia="pt-BR"/>
              </w:rPr>
              <w:t>VALOR DO INCENTIVO FINANCEIRO DE CUSTEIO DE FONTE FEDERAL PARA AS CENTRAIS DE REGULAÇÃO</w:t>
            </w:r>
          </w:p>
        </w:tc>
      </w:tr>
    </w:tbl>
    <w:p w:rsidR="00275188" w:rsidRDefault="00FB14A4" w:rsidP="00FB14A4">
      <w:pPr>
        <w:spacing w:after="0" w:line="240" w:lineRule="auto"/>
        <w:rPr>
          <w:sz w:val="20"/>
          <w:szCs w:val="20"/>
        </w:rPr>
      </w:pPr>
      <w:r w:rsidRPr="00FB14A4">
        <w:rPr>
          <w:noProof/>
          <w:szCs w:val="20"/>
          <w:lang w:eastAsia="pt-BR"/>
        </w:rPr>
        <w:lastRenderedPageBreak/>
        <w:drawing>
          <wp:inline distT="0" distB="0" distL="0" distR="0">
            <wp:extent cx="5400040" cy="2124131"/>
            <wp:effectExtent l="19050" t="0" r="0" b="0"/>
            <wp:docPr id="36" name="Imagem 3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6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00040" cy="212413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B14A4" w:rsidRDefault="00FB14A4" w:rsidP="00FB14A4">
      <w:pPr>
        <w:spacing w:after="0" w:line="240" w:lineRule="auto"/>
        <w:rPr>
          <w:sz w:val="20"/>
          <w:szCs w:val="20"/>
        </w:rPr>
      </w:pPr>
    </w:p>
    <w:p w:rsidR="00FB14A4" w:rsidRDefault="00FB14A4" w:rsidP="00FB14A4">
      <w:pPr>
        <w:spacing w:after="0" w:line="240" w:lineRule="auto"/>
        <w:rPr>
          <w:sz w:val="20"/>
          <w:szCs w:val="20"/>
        </w:rPr>
      </w:pPr>
      <w:r w:rsidRPr="00FB14A4">
        <w:rPr>
          <w:noProof/>
          <w:szCs w:val="20"/>
          <w:lang w:eastAsia="pt-BR"/>
        </w:rPr>
        <w:drawing>
          <wp:inline distT="0" distB="0" distL="0" distR="0">
            <wp:extent cx="5400040" cy="2127433"/>
            <wp:effectExtent l="19050" t="0" r="0" b="0"/>
            <wp:docPr id="40" name="Imagem 4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0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00040" cy="212743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B14A4" w:rsidRDefault="00FB14A4" w:rsidP="00FB14A4">
      <w:pPr>
        <w:spacing w:after="0" w:line="240" w:lineRule="auto"/>
        <w:rPr>
          <w:sz w:val="20"/>
          <w:szCs w:val="20"/>
        </w:rPr>
      </w:pPr>
    </w:p>
    <w:p w:rsidR="00FB14A4" w:rsidRDefault="00FB14A4" w:rsidP="00FB14A4">
      <w:pPr>
        <w:spacing w:after="0" w:line="240" w:lineRule="auto"/>
        <w:rPr>
          <w:sz w:val="20"/>
          <w:szCs w:val="20"/>
        </w:rPr>
      </w:pPr>
      <w:r w:rsidRPr="00FB14A4">
        <w:rPr>
          <w:noProof/>
          <w:szCs w:val="20"/>
          <w:lang w:eastAsia="pt-BR"/>
        </w:rPr>
        <w:drawing>
          <wp:inline distT="0" distB="0" distL="0" distR="0">
            <wp:extent cx="5400040" cy="2328508"/>
            <wp:effectExtent l="19050" t="0" r="0" b="0"/>
            <wp:docPr id="41" name="Imagem 4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1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00040" cy="232850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FB14A4" w:rsidSect="00FB14A4">
      <w:pgSz w:w="11906" w:h="16838"/>
      <w:pgMar w:top="1135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6"/>
  <w:proofState w:spelling="clean" w:grammar="clean"/>
  <w:defaultTabStop w:val="708"/>
  <w:hyphenationZone w:val="425"/>
  <w:characterSpacingControl w:val="doNotCompress"/>
  <w:compat/>
  <w:rsids>
    <w:rsidRoot w:val="0048245E"/>
    <w:rsid w:val="00042012"/>
    <w:rsid w:val="001D6D9B"/>
    <w:rsid w:val="00275188"/>
    <w:rsid w:val="003B52E7"/>
    <w:rsid w:val="0048245E"/>
    <w:rsid w:val="00FB14A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75188"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styleId="Hyperlink">
    <w:name w:val="Hyperlink"/>
    <w:basedOn w:val="Fontepargpadro"/>
    <w:uiPriority w:val="99"/>
    <w:semiHidden/>
    <w:unhideWhenUsed/>
    <w:rsid w:val="0048245E"/>
    <w:rPr>
      <w:strike w:val="0"/>
      <w:dstrike w:val="0"/>
      <w:color w:val="1E6298"/>
      <w:u w:val="none"/>
      <w:effect w:val="none"/>
    </w:rPr>
  </w:style>
  <w:style w:type="paragraph" w:styleId="NormalWeb">
    <w:name w:val="Normal (Web)"/>
    <w:basedOn w:val="Normal"/>
    <w:uiPriority w:val="99"/>
    <w:semiHidden/>
    <w:unhideWhenUsed/>
    <w:rsid w:val="0048245E"/>
    <w:pPr>
      <w:spacing w:before="96" w:after="144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48245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48245E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70507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61347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1255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67456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9147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290117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49547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094274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770075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6477217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46544413">
                              <w:marLeft w:val="144"/>
                              <w:marRight w:val="144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4739597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8926309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5721764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144496148">
                                              <w:marLeft w:val="0"/>
                                              <w:marRight w:val="0"/>
                                              <w:marTop w:val="192"/>
                                              <w:marBottom w:val="192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05704605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388650549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wmf"/><Relationship Id="rId3" Type="http://schemas.openxmlformats.org/officeDocument/2006/relationships/settings" Target="settings.xml"/><Relationship Id="rId7" Type="http://schemas.openxmlformats.org/officeDocument/2006/relationships/image" Target="media/image1.wmf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hyperlink" Target="http://portal.saude.gov.br/portal/saude/" TargetMode="External"/><Relationship Id="rId11" Type="http://schemas.openxmlformats.org/officeDocument/2006/relationships/theme" Target="theme/theme1.xml"/><Relationship Id="rId5" Type="http://schemas.openxmlformats.org/officeDocument/2006/relationships/hyperlink" Target="mailto:cgra@saude.gov.br" TargetMode="Externa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3.wmf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F0C3AD8-0A90-4483-8AFF-AD1F5B8B05A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2206</Words>
  <Characters>11918</Characters>
  <Application>Microsoft Office Word</Application>
  <DocSecurity>4</DocSecurity>
  <Lines>99</Lines>
  <Paragraphs>28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14096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voltolinij</dc:creator>
  <cp:lastModifiedBy>probstar</cp:lastModifiedBy>
  <cp:revision>2</cp:revision>
  <dcterms:created xsi:type="dcterms:W3CDTF">2012-09-05T11:54:00Z</dcterms:created>
  <dcterms:modified xsi:type="dcterms:W3CDTF">2012-09-05T11:54:00Z</dcterms:modified>
</cp:coreProperties>
</file>