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25D1" w:rsidRPr="00C425D1" w:rsidRDefault="00C425D1" w:rsidP="00C425D1">
      <w:pPr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pt-BR"/>
        </w:rPr>
      </w:pPr>
      <w:r w:rsidRPr="00C425D1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pt-BR"/>
        </w:rPr>
        <w:t xml:space="preserve">PORTARIA Nº 2.923, DE 28 DE NOVEMBRO DE </w:t>
      </w:r>
      <w:proofErr w:type="gramStart"/>
      <w:r w:rsidRPr="00C425D1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pt-BR"/>
        </w:rPr>
        <w:t>2013</w:t>
      </w:r>
      <w:proofErr w:type="gramEnd"/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 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O MINISTRO DE ESTADO DA SAÚDE, no uso das atribuições que lhe confere o inciso II do parágrafo único do art. 87 da Constituição, </w:t>
      </w:r>
      <w:proofErr w:type="gram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e</w:t>
      </w:r>
      <w:proofErr w:type="gramEnd"/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Considerando a Lei nº 8.080, de 19 de setembro de 1990, que dispõe sobre as condições para promoção, proteção e recuperação da saúde, a organização e o funcionamento dos serviços correspondentes;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Considerando o Decreto nº 7.508, de 28 de junho </w:t>
      </w:r>
      <w:proofErr w:type="spell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dertaria</w:t>
      </w:r>
      <w:proofErr w:type="spellEnd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 2011, que regulamenta a Lei nº 8.080, de 1990, para dispor sobre a organização do Sistema Único de Saúde (SUS), o planejamento da saúde, a assistência à saúde e a articulação </w:t>
      </w:r>
      <w:proofErr w:type="spell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interfederativa</w:t>
      </w:r>
      <w:proofErr w:type="spellEnd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;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Considerando a Portaria n° 204/GM/MS, de 29 de janeiro de 2007, que regulamenta o financiamento e a transferência dos recursos federais para as ações e os serviços de saúde, na forma de blocos de financiamento, com o respectivo monitoramento e controle;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Considerando a Portaria nº 1.559/GM/MS, de 1º de agosto de 2008, que institui a Política Nacional de Regulação do SUS;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Considerando a Portaria n° 4.279/GM/MS, de 30 de dezembro de 2010, que estabelece diretrizes para a organização da Rede de Atenção à Saúde no âmbito do SUS;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Considerando a Portaria nº 1.792/GM/MS, de 22 de agosto de 2012, que institui incentivo financeiro de custeio destinado às Centrais de Regulação organizadas no âmbito do SUS; </w:t>
      </w:r>
      <w:proofErr w:type="gram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e</w:t>
      </w:r>
      <w:proofErr w:type="gramEnd"/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Considerando a necessidade de estruturação das Centrais de Regulação do Acesso para garantia de acesso adequado e oportuno dos usuários a ações e serviços de saúde, resolve: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Art. 1º Esta Portaria institui incentivo financeiro de investimento para a aquisição de equipamentos e materiais permanentes e de custeio para reforma, destinados à implantação e/ou </w:t>
      </w:r>
      <w:proofErr w:type="gram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implementação</w:t>
      </w:r>
      <w:proofErr w:type="gramEnd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 de Centrais de Regulação de Consultas e Exames e das Centrais de Regulação de Internações Hospitalares de que trata a Portaria nº 1.559/GM/MS, de 1º de agosto de 2008, e implementação de Unidade Solicitante no âmbito do Sistema Único de Saúde (SUS).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Art. 2º Para efeito desta Portaria</w:t>
      </w:r>
      <w:proofErr w:type="gram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, considera-se</w:t>
      </w:r>
      <w:proofErr w:type="gramEnd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 Unidade Solicitante a unidade administrativa situada dentro dos estabelecimentos de saúde, inclusive das unidades de saúde e Secretarias de Saúde ou similares, designadas pelo gestor de saúde estadual, distrital ou municipal como responsável pela solicitação de procedimentos às Centrais de Regulação de Consultas e Exames ou Centrais de Regulação de Internações Hospitalares.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Parágrafo único. A habilitação da Proposta de </w:t>
      </w:r>
      <w:proofErr w:type="gram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Implementação</w:t>
      </w:r>
      <w:proofErr w:type="gramEnd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 de Unidade Solicitante depende da comprovação pelo gestor de saúde proponente de vinculação da Unidade Solicitante a uma Central de Regulação de Consultas e Exames ou Centrais de Regulação de Internações Hospitalares, por meio de atesto do respectivo gestor dessas Centrais.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Art. 3º O incentivo financeiro de investimento de que trata esta Portaria é destinado à aquisição de equipamentos e materiais permanentes necessários para o funcionamento das Centrais de Regulação de Consultas e Exames, Centrais de Regulação de Internações Hospitalares e Unidade Solicitante, sendo vedada sua utilização na aquisição e no desenvolvimento de programas informatizados para regulação.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lastRenderedPageBreak/>
        <w:t>§ 1º O incentivo financeiro de investimento de que trata o "caput" não será destinado às Centrais de Regulação das Urgências, de que trata a Portaria nº 1.559/GM/MS, de 2008.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§ 2º O repasse de recursos do incentivo financeiro de investimento de que trata o "caput" destinado à Unidade Solicitante tem como objetivo criar condições de conectividade para a solicitação de procedimentos ambulatoriais e de internações hospitalares junto a uma Central de Regulação do Acesso.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Art. 4º O incentivo financeiro de custeio para reforma de que trata esta Portaria é destinado à operacionalização de Centrais de Regulação de Consultas e Exames e das Centrais de Regulação de Internações Hospitalares.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Parágrafo único. O incentivo financeiro de que trata o "caput" não será destinado às Centrais de Regulação das Urgências, de que trata a Portaria nº 1.559/GM/MS, de 2008, e nem a Unidades Solicitantes.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Art. 5º Poderão pleitear a habilitação ao Ministério da Saúde para o recebimento dos incentivos financeiros de que trata esta Portaria, os Estados, o Distrito Federal e os Municípios.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§ 1º Mediante prévia aprovação na Comissão </w:t>
      </w:r>
      <w:proofErr w:type="spell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Intergestores</w:t>
      </w:r>
      <w:proofErr w:type="spellEnd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 Regional (CIR) e/ou na Comissão </w:t>
      </w:r>
      <w:proofErr w:type="spell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Intergestores</w:t>
      </w:r>
      <w:proofErr w:type="spellEnd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 </w:t>
      </w:r>
      <w:proofErr w:type="spell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Bipartite</w:t>
      </w:r>
      <w:proofErr w:type="spellEnd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 (CIB), o Estado poderá pleitear a habilitação de Unidades Solicitantes de Municípios situados em sua extensão territorial para o recebimento do incentivo financeiro de investimento de que trata o art. 3º, desde que de acordo com </w:t>
      </w:r>
      <w:proofErr w:type="gram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o Plano Estadual de Regulação, observada</w:t>
      </w:r>
      <w:proofErr w:type="gramEnd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 a regra do parágrafo único do art. 2º.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§ 2º Na hipótese do § 1º, os Estados, após receberem os recursos financeiros provenientes do incentivo financeiro de investimento de que trata o art. 3º, adquirirão os equipamentos e materiais permanentes necessários para a operacionalização da Unidade Solicitante habilitada e os repassarão aos Municípios contemplados, sob a forma de doação.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§ 3º Para fins do disposto nos §§ 1º e 2º, fica vedado aos Municípios contemplados pelo requerimento apresentado pelo Estado </w:t>
      </w:r>
      <w:proofErr w:type="gram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a</w:t>
      </w:r>
      <w:proofErr w:type="gramEnd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 apresentação de pedido de habilitação de que trata o "caput".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Art. 6º Para se habilitar ao recebimento dos incentivos financeiros de que trata esta Portaria, o ente federativo elaborará, de acordo com cada situação: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I - Proposta de Implantação/Implementação de Central de Regulação de Consultas e Exames e/ou Central de Regulação de Internações Hospitalares; e/</w:t>
      </w:r>
      <w:proofErr w:type="gram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ou</w:t>
      </w:r>
      <w:proofErr w:type="gramEnd"/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II - Proposta de </w:t>
      </w:r>
      <w:proofErr w:type="gram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Implementação</w:t>
      </w:r>
      <w:proofErr w:type="gramEnd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 de Unidade Solicitante.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§ 1º A Proposta de Implantação/</w:t>
      </w:r>
      <w:proofErr w:type="gram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Implementação</w:t>
      </w:r>
      <w:proofErr w:type="gramEnd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 de Central de Regulação de Consultas e Exames e/ou Central de Regulação de Internações conterá: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I - indicação do tipo de Central de Regulação a ser implantada/</w:t>
      </w:r>
      <w:proofErr w:type="gram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implementada</w:t>
      </w:r>
      <w:proofErr w:type="gramEnd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;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II - indicação dos estabelecimentos de saúde que inserirão procedimentos na Central de Regulação, com os respectivos códigos do Sistema Cadastro Nacional de Estabelecimento de Saúde (SCNES), e os recursos assistenciais por estes disponibilizados para a Central de Regulação proposta;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III - descrição da composição da equipe, a carga horária a ser efetuada por cada profissional e, havendo divisão por turno de trabalho, o quantitativo de profissionais que trabalharão em cada turno;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lastRenderedPageBreak/>
        <w:t xml:space="preserve">IV - indicação das Unidades Solicitantes que serão vinculadas </w:t>
      </w:r>
      <w:proofErr w:type="gram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à</w:t>
      </w:r>
      <w:proofErr w:type="gramEnd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 cada Central de Regulação a ser implantada/implementada, especificando o código do SCNES de cada uma delas;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V - cronograma detalhado de implantação e/ou </w:t>
      </w:r>
      <w:proofErr w:type="gram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implementação</w:t>
      </w:r>
      <w:proofErr w:type="gramEnd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;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VI - cronograma de disponibilização dos recursos assistenciais pelos estabelecimentos de saúde de que trata o inciso II; </w:t>
      </w:r>
      <w:proofErr w:type="gram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e</w:t>
      </w:r>
      <w:proofErr w:type="gramEnd"/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VII - o cronograma de </w:t>
      </w:r>
      <w:proofErr w:type="gram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implementação</w:t>
      </w:r>
      <w:proofErr w:type="gramEnd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 das Unidades Solicitantes vinculadas.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§ 2º A Proposta de </w:t>
      </w:r>
      <w:proofErr w:type="gram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Implementação</w:t>
      </w:r>
      <w:proofErr w:type="gramEnd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 de Unidade Solicitante conterá: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I - identificação da unidade e o respectivo número do cadastro no SCNES;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II - cronograma detalhado de implementação; </w:t>
      </w:r>
      <w:proofErr w:type="gram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e</w:t>
      </w:r>
      <w:proofErr w:type="gramEnd"/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III - documento de comprovação pelo gestor de saúde proponente de vinculação da Unidade Solicitante a uma Central de Regulação de Consultas e Exames ou Centrais de Regulação de Internações Hospitalares e documento de atesto do respectivo gestor destas Centrais, nos termos do parágrafo único do art. 2º.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§ 3º O prazo estabelecido no cronograma de implantação e/ou </w:t>
      </w:r>
      <w:proofErr w:type="gram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implementação</w:t>
      </w:r>
      <w:proofErr w:type="gramEnd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 da Central de Regulação ou Unidade Solicitante não excederá a 18 (dezoito) meses e o prazo para inserção dos recursos assistenciais na Central de Regulação do Acesso não excederá a 12 (doze) meses.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§ 4º As Propostas de que tratam o "caput" serão apresentadas ao Ministério da Saúde pelo ente federativo interessado por meio de formulários disponíveis no endereço eletrônico </w:t>
      </w:r>
      <w:bookmarkStart w:id="0" w:name="_GoBack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fldChar w:fldCharType="begin"/>
      </w: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instrText xml:space="preserve"> HYPERLINK "http://portal.saude.gov.br/portal/saude/profissional/area.cfm?id_area=1006" \t "_blank" </w:instrText>
      </w: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fldChar w:fldCharType="separate"/>
      </w:r>
      <w:r w:rsidRPr="00C425D1">
        <w:rPr>
          <w:rFonts w:ascii="Times New Roman" w:eastAsia="Times New Roman" w:hAnsi="Times New Roman" w:cs="Times New Roman"/>
          <w:color w:val="0000FF"/>
          <w:sz w:val="21"/>
          <w:szCs w:val="21"/>
          <w:u w:val="single"/>
          <w:lang w:eastAsia="pt-BR"/>
        </w:rPr>
        <w:t>http://portal.saude.gov.br/portal/saude/profissional/area.cfm?id_area=1006</w:t>
      </w: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fldChar w:fldCharType="end"/>
      </w:r>
      <w:bookmarkEnd w:id="0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, que contém, também, as instruções de envio.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§ 5º A responsabilidade pela veracidade das informações declaradas na Proposta de que trata o "caput" é do respectivo gestor de saúde.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§ 6º No encaminhamento das Propostas de que trata o "caput" também deverá ser incluída resolução de aprovação das Comissões </w:t>
      </w:r>
      <w:proofErr w:type="spell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Intergestores</w:t>
      </w:r>
      <w:proofErr w:type="spellEnd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 Regional (CIR) e/ou Comissões </w:t>
      </w:r>
      <w:proofErr w:type="spell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Intergestores</w:t>
      </w:r>
      <w:proofErr w:type="spellEnd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 </w:t>
      </w:r>
      <w:proofErr w:type="spell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Bipartite</w:t>
      </w:r>
      <w:proofErr w:type="spellEnd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 (CIB), de acordo com a abrangência da Central de Regulação do Acesso ou Unidade Solicitante.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§ 7º Para fins de habilitação aos incentivos financeiros de que trata esta Portaria, será avaliado o cumprimento das obrigações e a compatibilidade das propostas encaminhadas pelos Estados, Distrito Federal e Municípios em relação às propostas aprovadas e aos repasses de recursos financeiros provenientes das Portarias nº 1.571/GM/MS, de 29 de junho de 2007, e nº 2.907/GM/MS, de 23 de novembro de 2009.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Art. 7º O montante dos recursos financeiros a serem repassados referentes aos incentivos de que trata esta Portaria será calculado a partir dos seguintes parâmetros: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I - para as Centrais de Regulação de Consultas e Exames ou Central de Regulação de Internações Hospitalares: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a) o tipo de central a ser implantada;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b) a quantidade de procedimentos a serem regulados;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c) a quantidade de Unidades Solicitantes vinculadas;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lastRenderedPageBreak/>
        <w:t>d) a abrangência estadual, regional ou municipal;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e) tamanho da equipe proposta; </w:t>
      </w:r>
      <w:proofErr w:type="gram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e</w:t>
      </w:r>
      <w:proofErr w:type="gramEnd"/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II - para as Unidades Solicitantes serão levados em conta, de acordo com cada caso, os custos estimados para atingir o objetivo de que trata o § 2º do art. 3º.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§ 1º Os equipamentos para conectividade da Unidade Solicitante com a respectiva Central de Regulação do Acesso, em face das diversidades regionais, deverão ser definidos pelo proponente, incluindo os valores praticados no Estado.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§ 2º Caso o custo da Proposta apresentada seja superior ao incentivo financeiro repassado pelo Ministério da Saúde, a respectiva diferença no valor dos recursos financeiros deverá ser custeada por conta do próprio ente federativo proponente.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§ 3º Caso o custo da Proposta seja inferior ao incentivo financeiro repassado pelo Ministério da Saúde, a respectiva diferença no valor dos recursos poderá ser utilizada pelo ente federativo proponente para o acréscimo quantitativo de ações já previstas na Proposta encaminhada.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Art. 8º Os recursos financeiros de que trata esta Portaria serão repassados em duas parcelas, de acordo com o cronograma de implantação e/ou </w:t>
      </w:r>
      <w:proofErr w:type="gram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implementação</w:t>
      </w:r>
      <w:proofErr w:type="gramEnd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 estabelecido na Proposta de que trata o art. 6º.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§ 1º A primeira parcela corresponderá a 60% (sessenta por cento) do valor total a ser repassado, após aprovação da proposta pelo Departamento de Regulação, Avaliação e Controle de Sistemas (DRAC/SAS/MS) e publicação do ato específico de que trata o art. 9º.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§ 2º A segunda parcela corresponderá a 40% (quarenta por cento) do valor total a ser repassado e será liberada mediante comprovação, junto ao DRAC/SAS/MS, da publicação oficial do resultado dos processos licitatórios para viabilização da proposta aprovada.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§ 3º A comprovação do cumprimento do objeto será realizada por meio do preenchimento de formulário descritivo, disponível no endereço eletrônico </w:t>
      </w:r>
      <w:hyperlink r:id="rId5" w:tgtFrame="_blank" w:history="1">
        <w:r w:rsidRPr="00C425D1">
          <w:rPr>
            <w:rFonts w:ascii="Times New Roman" w:eastAsia="Times New Roman" w:hAnsi="Times New Roman" w:cs="Times New Roman"/>
            <w:color w:val="0000FF"/>
            <w:sz w:val="21"/>
            <w:szCs w:val="21"/>
            <w:u w:val="single"/>
            <w:lang w:eastAsia="pt-BR"/>
          </w:rPr>
          <w:t>http://portal.saude.gov.br/portal/saude/profissional/area.cfm?id_area=1006</w:t>
        </w:r>
      </w:hyperlink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, da efetiva implantação da Central de Regulação do Acesso e Unidade Solicitante, conforme o disposto nesta Portaria, no prazo estabelecido no § 3º do art. 6º.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Art. 9º Após aprovada a proposta de habilitação pelo DRAC/SAS/MS, o Ministro de Estado da Saúde publicará ato específico habilitando o ente federativo ao recebimento dos recursos financeiros que trata esta Portaria no qual explicitará, de forma individualizada, o valor do respectivo incentivo financeiro de investimento e o valor do respectivo incentivo financeiro de custeio para reforma a serem repassados.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Art. 10. Uma vez publicado o ato normativo de habilitação previsto no art. 9º, os recursos financeiros de que trata esta Portaria serão repassados do Fundo Nacional de Saúde para os Fundos de Saúde Estaduais, do </w:t>
      </w:r>
      <w:proofErr w:type="gram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Distrito Federal e Municipais, na forma definida nos §§ 1º e 2º do art. 8º</w:t>
      </w:r>
      <w:proofErr w:type="gramEnd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Art. 11. O monitoramento e a avaliação do cumprimento dos compromissos firmados pelos gestores nas Propostas aprovadas ficarão a cargo do DRAC/SAS/MS.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Art. 12. Na hipótese de descumprimento do disposto nesta Portaria, o DRAC/SAS/MS notificará o gestor estadual, distrital ou municipal de saúde para que, em até 15 (quinze) dias, apresente justificativa.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lastRenderedPageBreak/>
        <w:t>§ 1º O DRAC/SAS/MS terá 15 (quinze) dias para analisar a justificativa apresentada e cientificar o interessado quanto à sua manifestação, a qual poderá ser de: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I - aceitação da justificativa; </w:t>
      </w:r>
      <w:proofErr w:type="gram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ou</w:t>
      </w:r>
      <w:proofErr w:type="gramEnd"/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II - não aceitação da justificativa.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§ 2º Em caso de aceitação da justificativa, será concedido prazo de </w:t>
      </w:r>
      <w:proofErr w:type="gram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30 (trinta) dias, improrrogável</w:t>
      </w:r>
      <w:proofErr w:type="gramEnd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, para que o gestor estadual, distrital ou municipal de saúde adeque a execução da Proposta aos termos em que aprovada pelo DRAC/SAS/MS.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§ 3º Em caso de não aceitação ou de não apresentação da justificativa pelo gestor estadual, distrital ou municipal de saúde, o DRAC/SAS/MS elaborará relatório circunstanciado com descrição dos fatos ocorridos e a indicação das eventuais irregularidades na execução dos recursos e o encaminhará ao Sistema Nacional de Auditoria (SNA) para realização de auditoria.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§ 4º Além do disposto no § 3º, o ente federativo habilitado estará sujeito: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I - à devolução imediata dos recursos financeiros repassados, acrescidos da correção monetária prevista em lei, mas apenas em relação aos recursos que foram repassados pelo Fundo Nacional de Saúde para o respectivo fundo de saúde e não executados no âmbito nos termos desta Portaria; </w:t>
      </w:r>
      <w:proofErr w:type="gram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e</w:t>
      </w:r>
      <w:proofErr w:type="gramEnd"/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II - ao regramento disposto na Lei Complementar nº 141, de </w:t>
      </w:r>
      <w:proofErr w:type="gram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3</w:t>
      </w:r>
      <w:proofErr w:type="gramEnd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 de janeiro de 2012, e no Decreto nº 7.827, de 16 de outubro de 2012, em relação aos recursos financeiros que foram repassados pelo Fundo Nacional de Saúde para o respectivo fundo de saúde e executados parcial ou totalmente em objeto diverso ao originalmente pactuado.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Art. 13. O monitoramento de que trata esta Portaria não dispensa o ente federativo beneficiário de comprovação da aplicação dos recursos financeiros percebidos por meio do Relatório Anual de Gestão (RAG).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Art. 14. Os repasses de recursos financeiros ainda devidos pelo Ministério da Saúde em virtude dos pedidos de habilitação apresentados e aprovados durante a vigência da Portaria nº 2.907/GM/MS, de 2009, continuarão a ocorrer conforme as regras daquela Portaria, não havendo qualquer prejuízo com relação aos financiamentos já concedidos.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Art. 15. Os recursos financeiros para a execução do disposto nesta Portaria são oriundos do orçamento do Ministério da Saúde, devendo onerar o Programa de Trabalho 10.302.2015.8721 - </w:t>
      </w:r>
      <w:proofErr w:type="gramStart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Implementação</w:t>
      </w:r>
      <w:proofErr w:type="gramEnd"/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 xml:space="preserve"> da Regulação, Controle e Avaliação da Atenção à Saúde.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Art. 16. Esta Portaria entra em vigor na data de sua publicação.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pt-BR"/>
        </w:rPr>
      </w:pPr>
      <w:r w:rsidRPr="00C425D1">
        <w:rPr>
          <w:rFonts w:ascii="Times New Roman" w:eastAsia="Times New Roman" w:hAnsi="Times New Roman" w:cs="Times New Roman"/>
          <w:sz w:val="21"/>
          <w:szCs w:val="21"/>
          <w:lang w:eastAsia="pt-BR"/>
        </w:rPr>
        <w:t>Art. 17. Fica revogada a Portaria nº 2.907/GM/MS, de 23 de novembro de 2009, publicada no Diário Oficial da União nº 224, Seção 1, do dia seguinte, p. 49.</w:t>
      </w:r>
    </w:p>
    <w:p w:rsidR="00C425D1" w:rsidRPr="00C425D1" w:rsidRDefault="00C425D1" w:rsidP="00C425D1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</w:pPr>
      <w:r w:rsidRPr="00C425D1">
        <w:rPr>
          <w:rFonts w:ascii="Times New Roman" w:eastAsia="Times New Roman" w:hAnsi="Times New Roman" w:cs="Times New Roman"/>
          <w:sz w:val="24"/>
          <w:szCs w:val="24"/>
          <w:lang w:eastAsia="pt-BR"/>
        </w:rPr>
        <w:t>ALEXANDRE ROCHA SANTOS PADILHA</w:t>
      </w:r>
    </w:p>
    <w:p w:rsidR="008567EF" w:rsidRDefault="008567EF" w:rsidP="00C425D1">
      <w:pPr>
        <w:jc w:val="both"/>
      </w:pPr>
    </w:p>
    <w:sectPr w:rsidR="008567E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25D1"/>
    <w:rsid w:val="008567EF"/>
    <w:rsid w:val="00C42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58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337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589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85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portal.saude.gov.br/portal/saude/profissional/area.cfm?id_area=100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2319</Words>
  <Characters>12528</Characters>
  <Application>Microsoft Office Word</Application>
  <DocSecurity>0</DocSecurity>
  <Lines>104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Roseli Probst</dc:creator>
  <cp:lastModifiedBy>Ana Roseli Probst</cp:lastModifiedBy>
  <cp:revision>1</cp:revision>
  <dcterms:created xsi:type="dcterms:W3CDTF">2014-02-27T19:11:00Z</dcterms:created>
  <dcterms:modified xsi:type="dcterms:W3CDTF">2014-02-27T19:14:00Z</dcterms:modified>
</cp:coreProperties>
</file>