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5ED1" w:rsidRPr="00255ED1" w:rsidRDefault="00255ED1" w:rsidP="004956C9">
      <w:pPr>
        <w:jc w:val="center"/>
        <w:rPr>
          <w:b/>
          <w:sz w:val="24"/>
          <w:szCs w:val="24"/>
        </w:rPr>
      </w:pPr>
      <w:r w:rsidRPr="00255ED1">
        <w:rPr>
          <w:b/>
          <w:sz w:val="24"/>
          <w:szCs w:val="24"/>
        </w:rPr>
        <w:t>NOTA TÉCNICA</w:t>
      </w:r>
    </w:p>
    <w:p w:rsidR="00255ED1" w:rsidRDefault="00255ED1" w:rsidP="00255ED1">
      <w:pPr>
        <w:jc w:val="center"/>
        <w:rPr>
          <w:sz w:val="24"/>
          <w:szCs w:val="24"/>
        </w:rPr>
      </w:pPr>
    </w:p>
    <w:p w:rsidR="00255ED1" w:rsidRDefault="00255ED1" w:rsidP="00255ED1">
      <w:pPr>
        <w:jc w:val="center"/>
        <w:rPr>
          <w:sz w:val="24"/>
          <w:szCs w:val="24"/>
        </w:rPr>
      </w:pPr>
    </w:p>
    <w:p w:rsidR="00255ED1" w:rsidRPr="002F0DAF" w:rsidRDefault="00255ED1" w:rsidP="00255ED1">
      <w:pPr>
        <w:spacing w:line="360" w:lineRule="auto"/>
        <w:ind w:firstLine="1134"/>
        <w:jc w:val="both"/>
        <w:rPr>
          <w:sz w:val="24"/>
          <w:szCs w:val="24"/>
        </w:rPr>
      </w:pPr>
      <w:r w:rsidRPr="002F0DAF">
        <w:rPr>
          <w:sz w:val="24"/>
          <w:szCs w:val="24"/>
        </w:rPr>
        <w:t>A presente Nota Técnica tem o objetivo de esclarecer a inserção dos Centros de Informação e Assistência Toxicológica (CIATox) como estabelecimentos de saúde da Linha de Cuidado ao Trauma, da Rede de Atenção as Urgências e Emergências no âmbito do Sistema Único de Saúde (SUS), conforme Portaria n° 1.678, de 2 de outubro de 2015.</w:t>
      </w:r>
    </w:p>
    <w:p w:rsidR="00255ED1" w:rsidRPr="002F0DAF" w:rsidRDefault="00255ED1" w:rsidP="00255ED1">
      <w:pPr>
        <w:spacing w:line="360" w:lineRule="auto"/>
        <w:ind w:firstLine="1134"/>
        <w:jc w:val="both"/>
        <w:rPr>
          <w:sz w:val="24"/>
          <w:szCs w:val="24"/>
        </w:rPr>
      </w:pPr>
      <w:r w:rsidRPr="002F0DAF">
        <w:rPr>
          <w:sz w:val="24"/>
          <w:szCs w:val="24"/>
        </w:rPr>
        <w:t>As diretrizes da Organização Mundial da Saúde (OMS) declaram que todos os países, independentemente de sua extensão ou população, devem dispor de serviços de informação e assistência toxicológica. Recomenda ainda, que os estados garantam em seus territórios a disponibilidade de antídotos e a difusão de informações técnicas qualificadas para assegurar o tratamento adequado ao paciente intoxicado.</w:t>
      </w:r>
    </w:p>
    <w:p w:rsidR="00255ED1" w:rsidRPr="002F0DAF" w:rsidRDefault="00255ED1" w:rsidP="00255ED1">
      <w:pPr>
        <w:pStyle w:val="Ttulo"/>
        <w:spacing w:line="360" w:lineRule="auto"/>
        <w:ind w:left="1701" w:hanging="567"/>
        <w:jc w:val="both"/>
        <w:rPr>
          <w:szCs w:val="24"/>
        </w:rPr>
      </w:pPr>
      <w:r w:rsidRPr="002F0DAF">
        <w:rPr>
          <w:spacing w:val="-2"/>
          <w:szCs w:val="24"/>
        </w:rPr>
        <w:t xml:space="preserve">A </w:t>
      </w:r>
      <w:r w:rsidRPr="002F0DAF">
        <w:rPr>
          <w:szCs w:val="24"/>
        </w:rPr>
        <w:t xml:space="preserve">Portaria n° 1.678, de 2 de outubro de 2015 no  </w:t>
      </w:r>
      <w:r w:rsidRPr="002F0DAF">
        <w:rPr>
          <w:color w:val="000000"/>
          <w:spacing w:val="-1"/>
          <w:szCs w:val="24"/>
        </w:rPr>
        <w:t xml:space="preserve">Art. 4° </w:t>
      </w:r>
      <w:r w:rsidRPr="002F0DAF">
        <w:rPr>
          <w:szCs w:val="24"/>
        </w:rPr>
        <w:t>define:</w:t>
      </w:r>
    </w:p>
    <w:p w:rsidR="00255ED1" w:rsidRPr="00E67A94" w:rsidRDefault="00255ED1" w:rsidP="00255ED1">
      <w:pPr>
        <w:widowControl w:val="0"/>
        <w:autoSpaceDE w:val="0"/>
        <w:autoSpaceDN w:val="0"/>
        <w:adjustRightInd w:val="0"/>
        <w:spacing w:after="120"/>
        <w:ind w:left="1701"/>
        <w:jc w:val="both"/>
        <w:rPr>
          <w:spacing w:val="-1"/>
        </w:rPr>
      </w:pPr>
      <w:r w:rsidRPr="00E67A94">
        <w:rPr>
          <w:b/>
          <w:spacing w:val="-1"/>
        </w:rPr>
        <w:t>I. Assistência Toxicológica</w:t>
      </w:r>
      <w:r w:rsidRPr="00E67A94">
        <w:rPr>
          <w:spacing w:val="-1"/>
        </w:rPr>
        <w:t>: um conjunto de ações e práticas a nível individual e coletivo, relacionadas às exposições às substâncias químicas, toxinas de animais peçonhentos e plantas tóxicas, envolvendo a promoção e a vigilância da saúde e a prevenção, diagnóstico e tratamento das intoxicações agudas e crônicas.</w:t>
      </w:r>
    </w:p>
    <w:p w:rsidR="00255ED1" w:rsidRPr="00E67A94" w:rsidRDefault="00255ED1" w:rsidP="00255ED1">
      <w:pPr>
        <w:widowControl w:val="0"/>
        <w:autoSpaceDE w:val="0"/>
        <w:autoSpaceDN w:val="0"/>
        <w:adjustRightInd w:val="0"/>
        <w:spacing w:after="120"/>
        <w:ind w:left="1701"/>
        <w:jc w:val="both"/>
        <w:rPr>
          <w:spacing w:val="-1"/>
        </w:rPr>
      </w:pPr>
      <w:r w:rsidRPr="00E67A94">
        <w:rPr>
          <w:b/>
          <w:spacing w:val="-1"/>
        </w:rPr>
        <w:t>II. Intoxicação:</w:t>
      </w:r>
      <w:r w:rsidRPr="00E67A94">
        <w:rPr>
          <w:spacing w:val="-1"/>
        </w:rPr>
        <w:t xml:space="preserve"> é um conjunto de sinais e sintomas provocados pela exposição às substâncias químicas e envenenamento por toxinas de animais peçonhentos e plantas tóxicas.</w:t>
      </w:r>
    </w:p>
    <w:p w:rsidR="00255ED1" w:rsidRPr="00E67A94" w:rsidRDefault="00255ED1" w:rsidP="00255ED1">
      <w:pPr>
        <w:spacing w:after="120"/>
        <w:ind w:left="1701"/>
        <w:jc w:val="both"/>
        <w:rPr>
          <w:spacing w:val="-1"/>
        </w:rPr>
      </w:pPr>
      <w:r w:rsidRPr="00E67A94">
        <w:rPr>
          <w:b/>
          <w:spacing w:val="-1"/>
        </w:rPr>
        <w:t>III. Centro de Informação e Assistência Toxicológica:</w:t>
      </w:r>
      <w:r w:rsidRPr="00E67A94">
        <w:rPr>
          <w:spacing w:val="-1"/>
        </w:rPr>
        <w:t xml:space="preserve"> unidades de saúde, de referência em Toxicologia Clínica no SUS, com atendimento em regime de plantão permanente por teleconsultoria e ou presencial, com o objetivo de prover informação toxicológica aos profissionais de saúde e às instituições e prestar assistência às pessoas expostas e/ou intoxicadas, visando à redução da morbimortalidade.</w:t>
      </w:r>
    </w:p>
    <w:p w:rsidR="00255ED1" w:rsidRPr="00E67A94" w:rsidRDefault="00255ED1" w:rsidP="00255ED1">
      <w:pPr>
        <w:widowControl w:val="0"/>
        <w:autoSpaceDE w:val="0"/>
        <w:autoSpaceDN w:val="0"/>
        <w:adjustRightInd w:val="0"/>
        <w:spacing w:after="120"/>
        <w:ind w:firstLine="1134"/>
        <w:jc w:val="both"/>
        <w:rPr>
          <w:sz w:val="24"/>
          <w:szCs w:val="24"/>
        </w:rPr>
      </w:pPr>
      <w:r>
        <w:rPr>
          <w:sz w:val="24"/>
          <w:szCs w:val="24"/>
        </w:rPr>
        <w:t xml:space="preserve">No </w:t>
      </w:r>
      <w:r w:rsidRPr="00E67A94">
        <w:rPr>
          <w:sz w:val="24"/>
          <w:szCs w:val="24"/>
        </w:rPr>
        <w:t>Art</w:t>
      </w:r>
      <w:r>
        <w:rPr>
          <w:sz w:val="24"/>
          <w:szCs w:val="24"/>
        </w:rPr>
        <w:t>igo</w:t>
      </w:r>
      <w:r w:rsidRPr="00E67A94">
        <w:rPr>
          <w:sz w:val="24"/>
          <w:szCs w:val="24"/>
        </w:rPr>
        <w:t xml:space="preserve"> 5º </w:t>
      </w:r>
      <w:r>
        <w:rPr>
          <w:sz w:val="24"/>
          <w:szCs w:val="24"/>
        </w:rPr>
        <w:t>s</w:t>
      </w:r>
      <w:r w:rsidRPr="00E67A94">
        <w:rPr>
          <w:sz w:val="24"/>
          <w:szCs w:val="24"/>
        </w:rPr>
        <w:t>ão consideradas atividades essenciais dos Centros de Informação e Assistência Toxicológica:</w:t>
      </w:r>
    </w:p>
    <w:p w:rsidR="00255ED1" w:rsidRDefault="00255ED1" w:rsidP="00255ED1">
      <w:pPr>
        <w:widowControl w:val="0"/>
        <w:autoSpaceDE w:val="0"/>
        <w:autoSpaceDN w:val="0"/>
        <w:adjustRightInd w:val="0"/>
        <w:spacing w:after="120"/>
        <w:ind w:left="1701"/>
        <w:jc w:val="both"/>
        <w:rPr>
          <w:spacing w:val="-1"/>
        </w:rPr>
      </w:pPr>
      <w:r w:rsidRPr="00E67A94">
        <w:t xml:space="preserve">I - </w:t>
      </w:r>
      <w:r w:rsidRPr="00E67A94">
        <w:rPr>
          <w:spacing w:val="-1"/>
        </w:rPr>
        <w:t>Produção e disseminação de informações, com destaque para diagnóstico, prognóstico, tratamento e prevenção das intoxicações agudas e crônicas e os riscos que elas ocasionam à saúde;</w:t>
      </w:r>
    </w:p>
    <w:p w:rsidR="00255ED1" w:rsidRPr="00E67A94" w:rsidRDefault="00255ED1" w:rsidP="00255ED1">
      <w:pPr>
        <w:widowControl w:val="0"/>
        <w:autoSpaceDE w:val="0"/>
        <w:autoSpaceDN w:val="0"/>
        <w:adjustRightInd w:val="0"/>
        <w:spacing w:after="120"/>
        <w:ind w:left="1701"/>
        <w:jc w:val="both"/>
      </w:pPr>
      <w:r w:rsidRPr="00E67A94">
        <w:t xml:space="preserve">II - </w:t>
      </w:r>
      <w:r w:rsidRPr="00E67A94">
        <w:rPr>
          <w:spacing w:val="-1"/>
        </w:rPr>
        <w:t>Produção e disseminação de informações para orientação à rede assistencial sobre reações adversas a medicamentos, interações medicamentosas, sobre o uso racional de medicamentos na gestação, lactação, por idosos;</w:t>
      </w:r>
    </w:p>
    <w:p w:rsidR="00255ED1" w:rsidRPr="00E67A94" w:rsidRDefault="00255ED1" w:rsidP="00255ED1">
      <w:pPr>
        <w:widowControl w:val="0"/>
        <w:autoSpaceDE w:val="0"/>
        <w:autoSpaceDN w:val="0"/>
        <w:adjustRightInd w:val="0"/>
        <w:spacing w:after="120"/>
        <w:ind w:left="1701"/>
        <w:jc w:val="both"/>
      </w:pPr>
      <w:r w:rsidRPr="00E67A94">
        <w:t xml:space="preserve">III - </w:t>
      </w:r>
      <w:r w:rsidRPr="00E67A94">
        <w:rPr>
          <w:spacing w:val="-1"/>
        </w:rPr>
        <w:t>Suporte clínico a profissionais de saúde na avaliação de gravidade das intoxicações agudas e crônicas para o correto encaminhamento para unidades referenciadas;</w:t>
      </w:r>
      <w:r w:rsidRPr="00E67A94">
        <w:t xml:space="preserve"> </w:t>
      </w:r>
    </w:p>
    <w:p w:rsidR="00255ED1" w:rsidRPr="00E67A94" w:rsidRDefault="00255ED1" w:rsidP="00255ED1">
      <w:pPr>
        <w:widowControl w:val="0"/>
        <w:autoSpaceDE w:val="0"/>
        <w:autoSpaceDN w:val="0"/>
        <w:adjustRightInd w:val="0"/>
        <w:spacing w:after="120"/>
        <w:ind w:left="1701"/>
        <w:jc w:val="both"/>
        <w:rPr>
          <w:spacing w:val="-1"/>
        </w:rPr>
      </w:pPr>
      <w:r w:rsidRPr="00E67A94">
        <w:t xml:space="preserve">IV - </w:t>
      </w:r>
      <w:r w:rsidRPr="00E67A94">
        <w:rPr>
          <w:spacing w:val="-1"/>
        </w:rPr>
        <w:t>Notificação de eventos de interesse para a Saúde Pública, com destaque para intoxicações agudas e crônicas;</w:t>
      </w:r>
    </w:p>
    <w:p w:rsidR="00255ED1" w:rsidRPr="00E67A94" w:rsidRDefault="00255ED1" w:rsidP="00255ED1">
      <w:pPr>
        <w:widowControl w:val="0"/>
        <w:autoSpaceDE w:val="0"/>
        <w:autoSpaceDN w:val="0"/>
        <w:adjustRightInd w:val="0"/>
        <w:spacing w:after="120"/>
        <w:ind w:left="1701"/>
        <w:jc w:val="both"/>
        <w:rPr>
          <w:spacing w:val="-1"/>
        </w:rPr>
      </w:pPr>
      <w:r w:rsidRPr="00E67A94">
        <w:rPr>
          <w:spacing w:val="-1"/>
        </w:rPr>
        <w:t>V - Prevenção de doenças e agravos;</w:t>
      </w:r>
    </w:p>
    <w:p w:rsidR="00255ED1" w:rsidRPr="00E67A94" w:rsidRDefault="00255ED1" w:rsidP="00255ED1">
      <w:pPr>
        <w:widowControl w:val="0"/>
        <w:autoSpaceDE w:val="0"/>
        <w:autoSpaceDN w:val="0"/>
        <w:adjustRightInd w:val="0"/>
        <w:spacing w:after="120"/>
        <w:ind w:left="1701"/>
        <w:jc w:val="both"/>
      </w:pPr>
      <w:r w:rsidRPr="00E67A94">
        <w:rPr>
          <w:spacing w:val="-1"/>
        </w:rPr>
        <w:lastRenderedPageBreak/>
        <w:t>VI - Promoção da saúde</w:t>
      </w:r>
      <w:r w:rsidRPr="00E67A94">
        <w:t>.</w:t>
      </w:r>
    </w:p>
    <w:p w:rsidR="00255ED1" w:rsidRDefault="00255ED1" w:rsidP="00255ED1">
      <w:pPr>
        <w:ind w:firstLine="1134"/>
        <w:jc w:val="both"/>
        <w:rPr>
          <w:sz w:val="24"/>
          <w:szCs w:val="24"/>
        </w:rPr>
      </w:pPr>
    </w:p>
    <w:p w:rsidR="00255ED1" w:rsidRDefault="00255ED1" w:rsidP="00255ED1">
      <w:pPr>
        <w:ind w:firstLine="1134"/>
        <w:jc w:val="both"/>
        <w:rPr>
          <w:sz w:val="24"/>
          <w:szCs w:val="24"/>
        </w:rPr>
      </w:pPr>
    </w:p>
    <w:p w:rsidR="00255ED1" w:rsidRPr="002F0DAF" w:rsidRDefault="00255ED1" w:rsidP="00255ED1">
      <w:pPr>
        <w:ind w:firstLine="1134"/>
        <w:jc w:val="both"/>
        <w:rPr>
          <w:sz w:val="24"/>
          <w:szCs w:val="24"/>
        </w:rPr>
      </w:pPr>
      <w:r w:rsidRPr="002F0DAF">
        <w:rPr>
          <w:sz w:val="24"/>
          <w:szCs w:val="24"/>
        </w:rPr>
        <w:t>A Política de Antídotos na Rede de Atenção à Saúde no estado de Santa Catarina, na Portaria n° 447 de 14 de junho de 2014, destaca:</w:t>
      </w:r>
    </w:p>
    <w:p w:rsidR="00255ED1" w:rsidRPr="00E67A94" w:rsidRDefault="00255ED1" w:rsidP="00255ED1">
      <w:pPr>
        <w:ind w:left="1701"/>
        <w:jc w:val="both"/>
      </w:pPr>
      <w:r w:rsidRPr="00E67A94">
        <w:t xml:space="preserve">Art. 8º – Atendendo as Diretrizes da OMS para as intoxicações, esta Política </w:t>
      </w:r>
      <w:r w:rsidRPr="00567138">
        <w:t>recomenda</w:t>
      </w:r>
      <w:r w:rsidRPr="00E67A94">
        <w:t xml:space="preserve"> </w:t>
      </w:r>
      <w:r w:rsidRPr="00E67A94">
        <w:rPr>
          <w:spacing w:val="-2"/>
        </w:rPr>
        <w:t xml:space="preserve">que o profissional de saúde no atendimento de um caso de intoxicação, ligue para o Centro de Informações Toxicológicas de Santa Catarina, 0800 643 5252, para obter informações toxicológicas, </w:t>
      </w:r>
      <w:r w:rsidRPr="00E67A94">
        <w:t>discutir o caso com os profissionais do Centro visando o diagnóstico e o melhor tratamento com base em evidências.</w:t>
      </w:r>
    </w:p>
    <w:p w:rsidR="00255ED1" w:rsidRPr="00E67A94" w:rsidRDefault="00255ED1" w:rsidP="00255ED1">
      <w:pPr>
        <w:pStyle w:val="Ttulo"/>
        <w:ind w:left="1701"/>
        <w:jc w:val="both"/>
        <w:rPr>
          <w:spacing w:val="-2"/>
          <w:sz w:val="22"/>
          <w:szCs w:val="22"/>
        </w:rPr>
      </w:pPr>
      <w:r w:rsidRPr="00E67A94">
        <w:rPr>
          <w:sz w:val="22"/>
          <w:szCs w:val="22"/>
        </w:rPr>
        <w:t>Parágrafo 1º – É recomendado e</w:t>
      </w:r>
      <w:r w:rsidRPr="00E67A94">
        <w:rPr>
          <w:spacing w:val="-2"/>
          <w:sz w:val="22"/>
          <w:szCs w:val="22"/>
        </w:rPr>
        <w:t>ntrar em contato com o CIT/SC - 0800 643 5252 antes de realizar medidas de descontaminação gastrintestinal e/ ou tratamento específico.</w:t>
      </w:r>
    </w:p>
    <w:p w:rsidR="00255ED1" w:rsidRPr="002F0DAF" w:rsidRDefault="00255ED1" w:rsidP="00255ED1">
      <w:pPr>
        <w:pStyle w:val="Ttulo"/>
        <w:spacing w:line="360" w:lineRule="auto"/>
        <w:ind w:left="1701" w:hanging="1701"/>
        <w:jc w:val="both"/>
        <w:rPr>
          <w:spacing w:val="-2"/>
          <w:szCs w:val="24"/>
        </w:rPr>
      </w:pPr>
    </w:p>
    <w:p w:rsidR="00255ED1" w:rsidRDefault="00255ED1" w:rsidP="00255ED1">
      <w:pPr>
        <w:pStyle w:val="Ttulo"/>
        <w:spacing w:line="360" w:lineRule="auto"/>
        <w:ind w:firstLine="1134"/>
        <w:jc w:val="both"/>
        <w:rPr>
          <w:spacing w:val="-2"/>
          <w:szCs w:val="24"/>
        </w:rPr>
      </w:pPr>
      <w:r w:rsidRPr="002F0DAF">
        <w:rPr>
          <w:spacing w:val="-2"/>
          <w:szCs w:val="24"/>
        </w:rPr>
        <w:t xml:space="preserve">A normatização das atividades de atenção à saúde para as intoxicações no âmbito do Sistema Único de Saúde (SUS) tem o como intuito dar atendimento às demandas dos usuários e serviços de saúde, contribuindo para a integridade do acesso e do uso racional dos recursos. </w:t>
      </w:r>
    </w:p>
    <w:p w:rsidR="00255ED1" w:rsidRPr="002F0DAF" w:rsidRDefault="00255ED1" w:rsidP="00255ED1">
      <w:pPr>
        <w:pStyle w:val="Ttulo"/>
        <w:spacing w:line="360" w:lineRule="auto"/>
        <w:ind w:firstLine="1134"/>
        <w:jc w:val="both"/>
        <w:rPr>
          <w:spacing w:val="-2"/>
          <w:szCs w:val="24"/>
        </w:rPr>
      </w:pPr>
    </w:p>
    <w:p w:rsidR="00255ED1" w:rsidRDefault="00255ED1" w:rsidP="00255ED1">
      <w:pPr>
        <w:pStyle w:val="Ttulo"/>
        <w:spacing w:line="360" w:lineRule="auto"/>
        <w:ind w:firstLine="1134"/>
        <w:jc w:val="both"/>
        <w:rPr>
          <w:spacing w:val="-2"/>
          <w:szCs w:val="24"/>
        </w:rPr>
      </w:pPr>
      <w:r w:rsidRPr="0031434E">
        <w:rPr>
          <w:b/>
          <w:spacing w:val="-2"/>
          <w:szCs w:val="24"/>
        </w:rPr>
        <w:t>Portanto recomenda-se aos profissionais de saúde de todos os níveis de atenção, que no atendimento de casos de intoxicação ou suspeita da mesma, busque imediatamente orientação do Centro de Informações Toxicológicas de Santa Catarina (CIT/SC) por contato telefônico. Este contato deve ocorrer principalmente no primeiro atendimento, mas também ao longo de todo o seguimento do caso. A normatização do atendimento, quando orientado pelo CIT/SC com base em ampla literatura científica atualizada, tem grande impacto na morbi-mortalidade, na detecção de problemas endêmicos e no uso racional dos recursos destinados à saúde</w:t>
      </w:r>
      <w:r w:rsidRPr="002F0DAF">
        <w:rPr>
          <w:spacing w:val="-2"/>
          <w:szCs w:val="24"/>
        </w:rPr>
        <w:t>.</w:t>
      </w:r>
    </w:p>
    <w:p w:rsidR="00255ED1" w:rsidRDefault="00255ED1" w:rsidP="00255ED1">
      <w:pPr>
        <w:pStyle w:val="Ttulo"/>
        <w:spacing w:line="360" w:lineRule="auto"/>
        <w:ind w:firstLine="1134"/>
        <w:jc w:val="both"/>
        <w:rPr>
          <w:spacing w:val="-2"/>
          <w:szCs w:val="24"/>
        </w:rPr>
      </w:pPr>
    </w:p>
    <w:p w:rsidR="00255ED1" w:rsidRDefault="00255ED1" w:rsidP="00255ED1">
      <w:pPr>
        <w:pStyle w:val="Ttulo"/>
        <w:spacing w:line="360" w:lineRule="auto"/>
        <w:ind w:firstLine="1134"/>
        <w:jc w:val="both"/>
        <w:rPr>
          <w:spacing w:val="-2"/>
          <w:szCs w:val="24"/>
        </w:rPr>
      </w:pPr>
    </w:p>
    <w:p w:rsidR="00255ED1" w:rsidRDefault="00255ED1" w:rsidP="00255ED1">
      <w:pPr>
        <w:pStyle w:val="Ttulo"/>
        <w:spacing w:line="360" w:lineRule="auto"/>
        <w:ind w:firstLine="1134"/>
        <w:jc w:val="both"/>
        <w:rPr>
          <w:spacing w:val="-2"/>
          <w:szCs w:val="24"/>
        </w:rPr>
      </w:pPr>
      <w:r>
        <w:rPr>
          <w:spacing w:val="-2"/>
          <w:szCs w:val="24"/>
        </w:rPr>
        <w:t xml:space="preserve">Florianópolis,  </w:t>
      </w:r>
      <w:r w:rsidR="004956C9">
        <w:rPr>
          <w:spacing w:val="-2"/>
          <w:szCs w:val="24"/>
        </w:rPr>
        <w:t xml:space="preserve">12 de maio </w:t>
      </w:r>
      <w:r>
        <w:rPr>
          <w:spacing w:val="-2"/>
          <w:szCs w:val="24"/>
        </w:rPr>
        <w:t xml:space="preserve">de 2016.  </w:t>
      </w:r>
    </w:p>
    <w:p w:rsidR="005C2305" w:rsidRDefault="005832BD"/>
    <w:sectPr w:rsidR="005C2305" w:rsidSect="00AD45D0">
      <w:headerReference w:type="default" r:id="rId7"/>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58B6" w:rsidRDefault="008A58B6" w:rsidP="004956C9">
      <w:r>
        <w:separator/>
      </w:r>
    </w:p>
  </w:endnote>
  <w:endnote w:type="continuationSeparator" w:id="1">
    <w:p w:rsidR="008A58B6" w:rsidRDefault="008A58B6" w:rsidP="004956C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58B6" w:rsidRDefault="008A58B6" w:rsidP="004956C9">
      <w:r>
        <w:separator/>
      </w:r>
    </w:p>
  </w:footnote>
  <w:footnote w:type="continuationSeparator" w:id="1">
    <w:p w:rsidR="008A58B6" w:rsidRDefault="008A58B6" w:rsidP="004956C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82" w:type="dxa"/>
      <w:tblInd w:w="-497" w:type="dxa"/>
      <w:tblLayout w:type="fixed"/>
      <w:tblCellMar>
        <w:left w:w="70" w:type="dxa"/>
        <w:right w:w="70" w:type="dxa"/>
      </w:tblCellMar>
      <w:tblLook w:val="0000"/>
    </w:tblPr>
    <w:tblGrid>
      <w:gridCol w:w="1560"/>
      <w:gridCol w:w="8222"/>
    </w:tblGrid>
    <w:tr w:rsidR="004956C9" w:rsidRPr="004E753E" w:rsidTr="0079731E">
      <w:trPr>
        <w:trHeight w:val="1430"/>
      </w:trPr>
      <w:tc>
        <w:tcPr>
          <w:tcW w:w="1560" w:type="dxa"/>
          <w:shd w:val="clear" w:color="auto" w:fill="auto"/>
          <w:vAlign w:val="center"/>
        </w:tcPr>
        <w:p w:rsidR="004956C9" w:rsidRPr="004E753E" w:rsidRDefault="004956C9" w:rsidP="0079731E">
          <w:pPr>
            <w:pStyle w:val="Ttulo"/>
            <w:ind w:left="539"/>
            <w:jc w:val="both"/>
            <w:outlineLvl w:val="0"/>
            <w:rPr>
              <w:sz w:val="22"/>
              <w:szCs w:val="22"/>
            </w:rPr>
          </w:pPr>
          <w:r w:rsidRPr="004E753E">
            <w:rPr>
              <w:sz w:val="22"/>
              <w:szCs w:val="22"/>
            </w:rPr>
            <w:t xml:space="preserve">   </w:t>
          </w:r>
          <w:r>
            <w:rPr>
              <w:noProof/>
              <w:sz w:val="22"/>
              <w:szCs w:val="22"/>
            </w:rPr>
            <w:drawing>
              <wp:inline distT="0" distB="0" distL="0" distR="0">
                <wp:extent cx="588010" cy="611505"/>
                <wp:effectExtent l="19050" t="0" r="254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88010" cy="611505"/>
                        </a:xfrm>
                        <a:prstGeom prst="rect">
                          <a:avLst/>
                        </a:prstGeom>
                        <a:solidFill>
                          <a:srgbClr val="FFFFFF"/>
                        </a:solidFill>
                        <a:ln w="9525">
                          <a:noFill/>
                          <a:miter lim="800000"/>
                          <a:headEnd/>
                          <a:tailEnd/>
                        </a:ln>
                      </pic:spPr>
                    </pic:pic>
                  </a:graphicData>
                </a:graphic>
              </wp:inline>
            </w:drawing>
          </w:r>
        </w:p>
      </w:tc>
      <w:tc>
        <w:tcPr>
          <w:tcW w:w="8222" w:type="dxa"/>
          <w:shd w:val="clear" w:color="auto" w:fill="auto"/>
          <w:vAlign w:val="center"/>
        </w:tcPr>
        <w:p w:rsidR="004956C9" w:rsidRPr="004E753E" w:rsidRDefault="004956C9" w:rsidP="0079731E">
          <w:pPr>
            <w:pStyle w:val="Ttulo"/>
            <w:ind w:left="539"/>
            <w:jc w:val="both"/>
            <w:outlineLvl w:val="0"/>
            <w:rPr>
              <w:sz w:val="22"/>
              <w:szCs w:val="22"/>
            </w:rPr>
          </w:pPr>
        </w:p>
        <w:p w:rsidR="004956C9" w:rsidRPr="004E753E" w:rsidRDefault="004956C9" w:rsidP="0079731E">
          <w:pPr>
            <w:pStyle w:val="Ttulo"/>
            <w:ind w:left="539"/>
            <w:jc w:val="both"/>
            <w:outlineLvl w:val="0"/>
            <w:rPr>
              <w:sz w:val="22"/>
              <w:szCs w:val="22"/>
            </w:rPr>
          </w:pPr>
          <w:r w:rsidRPr="004E753E">
            <w:rPr>
              <w:sz w:val="22"/>
              <w:szCs w:val="22"/>
            </w:rPr>
            <w:t>GOVERNO DE SANTA CATARINA</w:t>
          </w:r>
        </w:p>
        <w:p w:rsidR="004956C9" w:rsidRPr="004E753E" w:rsidRDefault="004956C9" w:rsidP="0079731E">
          <w:pPr>
            <w:pStyle w:val="Ttulo"/>
            <w:ind w:left="539"/>
            <w:jc w:val="both"/>
            <w:outlineLvl w:val="0"/>
            <w:rPr>
              <w:sz w:val="22"/>
              <w:szCs w:val="22"/>
            </w:rPr>
          </w:pPr>
          <w:r w:rsidRPr="004E753E">
            <w:rPr>
              <w:sz w:val="22"/>
              <w:szCs w:val="22"/>
            </w:rPr>
            <w:t>Secretaria de Estado da Saúde</w:t>
          </w:r>
        </w:p>
        <w:p w:rsidR="004956C9" w:rsidRDefault="004956C9" w:rsidP="0079731E">
          <w:pPr>
            <w:pStyle w:val="Ttulo"/>
            <w:ind w:left="539"/>
            <w:jc w:val="both"/>
            <w:outlineLvl w:val="0"/>
            <w:rPr>
              <w:sz w:val="22"/>
              <w:szCs w:val="22"/>
            </w:rPr>
          </w:pPr>
          <w:r>
            <w:rPr>
              <w:sz w:val="22"/>
              <w:szCs w:val="22"/>
            </w:rPr>
            <w:t>Superintendência de Regulação</w:t>
          </w:r>
        </w:p>
        <w:p w:rsidR="004956C9" w:rsidRDefault="004956C9" w:rsidP="0079731E">
          <w:pPr>
            <w:pStyle w:val="Ttulo"/>
            <w:ind w:left="539"/>
            <w:jc w:val="both"/>
            <w:outlineLvl w:val="0"/>
            <w:rPr>
              <w:sz w:val="22"/>
              <w:szCs w:val="22"/>
            </w:rPr>
          </w:pPr>
          <w:r>
            <w:rPr>
              <w:sz w:val="22"/>
              <w:szCs w:val="22"/>
            </w:rPr>
            <w:t>Coordenação de Urgência e Emergência</w:t>
          </w:r>
        </w:p>
        <w:p w:rsidR="004956C9" w:rsidRDefault="004956C9" w:rsidP="0079731E">
          <w:pPr>
            <w:pStyle w:val="Ttulo"/>
            <w:ind w:left="539"/>
            <w:jc w:val="both"/>
            <w:outlineLvl w:val="0"/>
            <w:rPr>
              <w:sz w:val="22"/>
              <w:szCs w:val="22"/>
            </w:rPr>
          </w:pPr>
          <w:r>
            <w:rPr>
              <w:sz w:val="22"/>
              <w:szCs w:val="22"/>
            </w:rPr>
            <w:t>Centro de Informação Toxicológica</w:t>
          </w:r>
        </w:p>
        <w:p w:rsidR="004956C9" w:rsidRPr="00143B54" w:rsidRDefault="004956C9" w:rsidP="0079731E">
          <w:pPr>
            <w:pStyle w:val="Subttulo"/>
          </w:pPr>
        </w:p>
      </w:tc>
    </w:tr>
  </w:tbl>
  <w:p w:rsidR="004956C9" w:rsidRDefault="004956C9">
    <w:pPr>
      <w:pStyle w:val="Cabealh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efaultTabStop w:val="708"/>
  <w:hyphenationZone w:val="425"/>
  <w:characterSpacingControl w:val="doNotCompress"/>
  <w:footnotePr>
    <w:footnote w:id="0"/>
    <w:footnote w:id="1"/>
  </w:footnotePr>
  <w:endnotePr>
    <w:endnote w:id="0"/>
    <w:endnote w:id="1"/>
  </w:endnotePr>
  <w:compat/>
  <w:rsids>
    <w:rsidRoot w:val="00255ED1"/>
    <w:rsid w:val="00193577"/>
    <w:rsid w:val="00231E62"/>
    <w:rsid w:val="00255ED1"/>
    <w:rsid w:val="0031434E"/>
    <w:rsid w:val="004956C9"/>
    <w:rsid w:val="005832BD"/>
    <w:rsid w:val="005F48F3"/>
    <w:rsid w:val="00771240"/>
    <w:rsid w:val="008A58B6"/>
    <w:rsid w:val="00AD45D0"/>
    <w:rsid w:val="00E92648"/>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ED1"/>
    <w:pPr>
      <w:spacing w:after="0" w:line="240" w:lineRule="auto"/>
    </w:pPr>
    <w:rPr>
      <w:rFonts w:ascii="Times New Roman" w:eastAsia="Times New Roman" w:hAnsi="Times New Roman" w:cs="Times New Roman"/>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link w:val="TtuloChar"/>
    <w:qFormat/>
    <w:rsid w:val="00255ED1"/>
    <w:pPr>
      <w:jc w:val="center"/>
    </w:pPr>
    <w:rPr>
      <w:sz w:val="24"/>
    </w:rPr>
  </w:style>
  <w:style w:type="character" w:customStyle="1" w:styleId="TtuloChar">
    <w:name w:val="Título Char"/>
    <w:basedOn w:val="Fontepargpadro"/>
    <w:link w:val="Ttulo"/>
    <w:rsid w:val="00255ED1"/>
    <w:rPr>
      <w:rFonts w:ascii="Times New Roman" w:eastAsia="Times New Roman" w:hAnsi="Times New Roman" w:cs="Times New Roman"/>
      <w:sz w:val="24"/>
      <w:szCs w:val="20"/>
      <w:lang w:eastAsia="pt-BR"/>
    </w:rPr>
  </w:style>
  <w:style w:type="paragraph" w:styleId="Cabealho">
    <w:name w:val="header"/>
    <w:basedOn w:val="Normal"/>
    <w:link w:val="CabealhoChar"/>
    <w:uiPriority w:val="99"/>
    <w:semiHidden/>
    <w:unhideWhenUsed/>
    <w:rsid w:val="004956C9"/>
    <w:pPr>
      <w:tabs>
        <w:tab w:val="center" w:pos="4252"/>
        <w:tab w:val="right" w:pos="8504"/>
      </w:tabs>
    </w:pPr>
  </w:style>
  <w:style w:type="character" w:customStyle="1" w:styleId="CabealhoChar">
    <w:name w:val="Cabeçalho Char"/>
    <w:basedOn w:val="Fontepargpadro"/>
    <w:link w:val="Cabealho"/>
    <w:uiPriority w:val="99"/>
    <w:semiHidden/>
    <w:rsid w:val="004956C9"/>
    <w:rPr>
      <w:rFonts w:ascii="Times New Roman" w:eastAsia="Times New Roman" w:hAnsi="Times New Roman" w:cs="Times New Roman"/>
      <w:sz w:val="20"/>
      <w:szCs w:val="20"/>
      <w:lang w:eastAsia="pt-BR"/>
    </w:rPr>
  </w:style>
  <w:style w:type="paragraph" w:styleId="Rodap">
    <w:name w:val="footer"/>
    <w:basedOn w:val="Normal"/>
    <w:link w:val="RodapChar"/>
    <w:uiPriority w:val="99"/>
    <w:semiHidden/>
    <w:unhideWhenUsed/>
    <w:rsid w:val="004956C9"/>
    <w:pPr>
      <w:tabs>
        <w:tab w:val="center" w:pos="4252"/>
        <w:tab w:val="right" w:pos="8504"/>
      </w:tabs>
    </w:pPr>
  </w:style>
  <w:style w:type="character" w:customStyle="1" w:styleId="RodapChar">
    <w:name w:val="Rodapé Char"/>
    <w:basedOn w:val="Fontepargpadro"/>
    <w:link w:val="Rodap"/>
    <w:uiPriority w:val="99"/>
    <w:semiHidden/>
    <w:rsid w:val="004956C9"/>
    <w:rPr>
      <w:rFonts w:ascii="Times New Roman" w:eastAsia="Times New Roman" w:hAnsi="Times New Roman" w:cs="Times New Roman"/>
      <w:sz w:val="20"/>
      <w:szCs w:val="20"/>
      <w:lang w:eastAsia="pt-BR"/>
    </w:rPr>
  </w:style>
  <w:style w:type="paragraph" w:styleId="Subttulo">
    <w:name w:val="Subtitle"/>
    <w:basedOn w:val="Normal"/>
    <w:next w:val="Normal"/>
    <w:link w:val="SubttuloChar"/>
    <w:qFormat/>
    <w:rsid w:val="004956C9"/>
    <w:pPr>
      <w:suppressAutoHyphens/>
      <w:spacing w:after="60"/>
      <w:jc w:val="center"/>
    </w:pPr>
    <w:rPr>
      <w:rFonts w:ascii="Cambria" w:hAnsi="Cambria"/>
      <w:sz w:val="24"/>
      <w:szCs w:val="24"/>
      <w:lang w:eastAsia="ar-SA"/>
    </w:rPr>
  </w:style>
  <w:style w:type="character" w:customStyle="1" w:styleId="SubttuloChar">
    <w:name w:val="Subtítulo Char"/>
    <w:basedOn w:val="Fontepargpadro"/>
    <w:link w:val="Subttulo"/>
    <w:rsid w:val="004956C9"/>
    <w:rPr>
      <w:rFonts w:ascii="Cambria" w:eastAsia="Times New Roman" w:hAnsi="Cambria" w:cs="Times New Roman"/>
      <w:sz w:val="24"/>
      <w:szCs w:val="24"/>
      <w:lang w:eastAsia="ar-SA"/>
    </w:rPr>
  </w:style>
  <w:style w:type="paragraph" w:styleId="Textodebalo">
    <w:name w:val="Balloon Text"/>
    <w:basedOn w:val="Normal"/>
    <w:link w:val="TextodebaloChar"/>
    <w:uiPriority w:val="99"/>
    <w:semiHidden/>
    <w:unhideWhenUsed/>
    <w:rsid w:val="004956C9"/>
    <w:rPr>
      <w:rFonts w:ascii="Tahoma" w:hAnsi="Tahoma" w:cs="Tahoma"/>
      <w:sz w:val="16"/>
      <w:szCs w:val="16"/>
    </w:rPr>
  </w:style>
  <w:style w:type="character" w:customStyle="1" w:styleId="TextodebaloChar">
    <w:name w:val="Texto de balão Char"/>
    <w:basedOn w:val="Fontepargpadro"/>
    <w:link w:val="Textodebalo"/>
    <w:uiPriority w:val="99"/>
    <w:semiHidden/>
    <w:rsid w:val="004956C9"/>
    <w:rPr>
      <w:rFonts w:ascii="Tahoma" w:eastAsia="Times New Roman" w:hAnsi="Tahoma" w:cs="Tahoma"/>
      <w:sz w:val="16"/>
      <w:szCs w:val="16"/>
      <w:lang w:eastAsia="pt-B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21F424-7110-471C-AEE9-6C8543762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651</Words>
  <Characters>3519</Characters>
  <Application>Microsoft Office Word</Application>
  <DocSecurity>0</DocSecurity>
  <Lines>29</Lines>
  <Paragraphs>8</Paragraphs>
  <ScaleCrop>false</ScaleCrop>
  <Company>Hewlett-Packard Company</Company>
  <LinksUpToDate>false</LinksUpToDate>
  <CharactersWithSpaces>4162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CIT</dc:creator>
  <cp:lastModifiedBy>remorlc</cp:lastModifiedBy>
  <cp:revision>2</cp:revision>
  <dcterms:created xsi:type="dcterms:W3CDTF">2016-05-17T18:39:00Z</dcterms:created>
  <dcterms:modified xsi:type="dcterms:W3CDTF">2016-05-17T18:39:00Z</dcterms:modified>
</cp:coreProperties>
</file>