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2.xml" ContentType="application/vnd.openxmlformats-officedocument.wordprocessingml.header+xml"/>
  <Override PartName="/word/media/image9.png" ContentType="image/png"/>
  <Override PartName="/word/media/image1.png" ContentType="image/png"/>
  <Override PartName="/word/media/image2.png" ContentType="image/png"/>
  <Override PartName="/word/media/image3.png" ContentType="image/png"/>
  <Override PartName="/word/media/image4.png" ContentType="image/png"/>
  <Override PartName="/word/media/image5.png" ContentType="image/png"/>
  <Override PartName="/word/media/image6.png" ContentType="image/png"/>
  <Override PartName="/word/media/image7.png" ContentType="image/png"/>
  <Override PartName="/word/media/image8.png" ContentType="image/png"/>
  <Override PartName="/word/media/image10.png" ContentType="image/png"/>
  <Override PartName="/word/media/image11.png" ContentType="image/png"/>
  <Override PartName="/word/media/image12.png" ContentType="image/png"/>
  <Override PartName="/word/header1.xml" ContentType="application/vnd.openxmlformats-officedocument.wordprocessingml.header+xml"/>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glossary/_rels/document.xml.rels" ContentType="application/vnd.openxmlformats-package.relationships+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glossary/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Normal"/>
        <w:jc w:val="center"/>
        <w:rPr>
          <w:rFonts w:ascii="Arial" w:hAnsi="Arial" w:cs="Arial"/>
          <w:sz w:val="28"/>
          <w:szCs w:val="28"/>
        </w:rPr>
      </w:pPr>
      <w:r>
        <w:rPr>
          <w:rFonts w:cs="Arial" w:ascii="Arial" w:hAnsi="Arial"/>
          <w:sz w:val="28"/>
          <w:szCs w:val="28"/>
        </w:rPr>
        <w:t>ESTADO DE SANTA CATARINA</w:t>
      </w:r>
    </w:p>
    <w:p>
      <w:pPr>
        <w:pStyle w:val="Normal"/>
        <w:jc w:val="center"/>
        <w:rPr>
          <w:rFonts w:ascii="Arial" w:hAnsi="Arial" w:cs="Arial"/>
          <w:sz w:val="28"/>
          <w:szCs w:val="28"/>
        </w:rPr>
      </w:pPr>
      <w:r>
        <w:rPr>
          <w:rFonts w:cs="Arial" w:ascii="Arial" w:hAnsi="Arial"/>
          <w:sz w:val="28"/>
          <w:szCs w:val="28"/>
        </w:rPr>
        <w:t>SECRETARIA DE ESTADO DA SAÚDE</w:t>
      </w:r>
    </w:p>
    <w:p>
      <w:pPr>
        <w:pStyle w:val="Normal"/>
        <w:jc w:val="center"/>
        <w:rPr>
          <w:rFonts w:ascii="Arial" w:hAnsi="Arial" w:eastAsia="Liberation Serif" w:cs="Arial"/>
          <w:sz w:val="28"/>
          <w:szCs w:val="28"/>
        </w:rPr>
      </w:pPr>
      <w:r>
        <w:rPr>
          <w:rFonts w:eastAsia="Liberation Serif" w:cs="Arial" w:ascii="Arial" w:hAnsi="Arial"/>
          <w:sz w:val="28"/>
          <w:szCs w:val="28"/>
        </w:rPr>
        <w:t>ÁREA TÉCNICA DA SAÚDE DA PESSOA COM DEFICIÊNCIA</w:t>
      </w:r>
    </w:p>
    <w:p>
      <w:pPr>
        <w:pStyle w:val="Normal"/>
        <w:jc w:val="center"/>
        <w:rPr>
          <w:rFonts w:ascii="Arial" w:hAnsi="Arial" w:cs="Arial"/>
          <w:b/>
          <w:b/>
          <w:sz w:val="48"/>
          <w:szCs w:val="48"/>
        </w:rPr>
      </w:pPr>
      <w:r>
        <w:rPr>
          <w:rFonts w:eastAsia="Liberation Serif" w:cs="Arial" w:ascii="Arial" w:hAnsi="Arial"/>
          <w:sz w:val="28"/>
          <w:szCs w:val="28"/>
        </w:rPr>
        <w:t>SERVIÇO DE SAÚDE AUDITIVA</w:t>
      </w:r>
    </w:p>
    <w:p>
      <w:pPr>
        <w:pStyle w:val="Normal"/>
        <w:jc w:val="center"/>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rPr>
          <w:rFonts w:ascii="Arial" w:hAnsi="Arial" w:cs="Arial"/>
          <w:b/>
          <w:b/>
          <w:sz w:val="48"/>
          <w:szCs w:val="48"/>
        </w:rPr>
      </w:pPr>
      <w:r>
        <w:rPr>
          <w:rFonts w:cs="Arial" w:ascii="Arial" w:hAnsi="Arial"/>
          <w:b/>
          <w:sz w:val="48"/>
          <w:szCs w:val="48"/>
        </w:rPr>
      </w:r>
    </w:p>
    <w:p>
      <w:pPr>
        <w:pStyle w:val="Normal"/>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32"/>
        </w:rPr>
        <w:t>Diretrizes de Atenção à Saúde Auditiva na Rede de Cuidados à Saúde da Pessoa com Deficiência em Santa Catarina</w:t>
      </w:r>
    </w:p>
    <w:p>
      <w:pPr>
        <w:pStyle w:val="Normal"/>
        <w:jc w:val="center"/>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jc w:val="center"/>
        <w:rPr>
          <w:rFonts w:ascii="Arial" w:hAnsi="Arial" w:cs="Arial"/>
          <w:b/>
          <w:b/>
          <w:sz w:val="48"/>
          <w:szCs w:val="48"/>
        </w:rPr>
      </w:pPr>
      <w:r>
        <w:rPr>
          <w:rFonts w:cs="Arial" w:ascii="Arial" w:hAnsi="Arial"/>
          <w:b/>
          <w:sz w:val="48"/>
          <w:szCs w:val="48"/>
        </w:rPr>
      </w:r>
    </w:p>
    <w:p>
      <w:pPr>
        <w:pStyle w:val="Normal"/>
        <w:jc w:val="center"/>
        <w:rPr/>
      </w:pPr>
      <w:r>
        <w:rPr>
          <w:rFonts w:cs="Arial" w:ascii="Arial" w:hAnsi="Arial"/>
          <w:sz w:val="28"/>
          <w:szCs w:val="28"/>
        </w:rPr>
        <w:t>2017</w:t>
      </w:r>
      <w:r>
        <w:br w:type="page"/>
      </w:r>
    </w:p>
    <w:p>
      <w:pPr>
        <w:pStyle w:val="Normal"/>
        <w:jc w:val="center"/>
        <w:rPr>
          <w:rFonts w:ascii="Arial" w:hAnsi="Arial" w:cs="Arial"/>
          <w:sz w:val="28"/>
          <w:szCs w:val="28"/>
        </w:rPr>
      </w:pPr>
      <w:r>
        <w:rPr>
          <w:rFonts w:cs="Arial" w:ascii="Arial" w:hAnsi="Arial"/>
          <w:sz w:val="28"/>
          <w:szCs w:val="28"/>
        </w:rPr>
      </w:r>
    </w:p>
    <w:p>
      <w:pPr>
        <w:pStyle w:val="Normal"/>
        <w:jc w:val="center"/>
        <w:rPr>
          <w:rFonts w:ascii="Arial" w:hAnsi="Arial" w:cs="Arial"/>
        </w:rPr>
      </w:pPr>
      <w:r>
        <w:rPr>
          <w:rFonts w:cs="Arial" w:ascii="Arial" w:hAnsi="Arial"/>
        </w:rPr>
      </w:r>
    </w:p>
    <w:p>
      <w:pPr>
        <w:pStyle w:val="Normal"/>
        <w:rPr>
          <w:rFonts w:ascii="Arial" w:hAnsi="Arial" w:cs="Arial"/>
          <w:sz w:val="28"/>
          <w:szCs w:val="28"/>
        </w:rPr>
      </w:pPr>
      <w:r>
        <w:rPr>
          <w:rFonts w:cs="Arial" w:ascii="Arial" w:hAnsi="Arial"/>
          <w:sz w:val="28"/>
          <w:szCs w:val="28"/>
        </w:rPr>
      </w:r>
    </w:p>
    <w:p>
      <w:pPr>
        <w:pStyle w:val="Normal"/>
        <w:jc w:val="center"/>
        <w:rPr>
          <w:rFonts w:ascii="Arial" w:hAnsi="Arial" w:cs="Arial"/>
          <w:sz w:val="28"/>
          <w:szCs w:val="28"/>
        </w:rPr>
      </w:pPr>
      <w:r>
        <w:rPr>
          <w:rFonts w:cs="Arial" w:ascii="Arial" w:hAnsi="Arial"/>
          <w:sz w:val="28"/>
          <w:szCs w:val="28"/>
        </w:rPr>
        <w:t>Governador do Estado de Santa Catarina</w:t>
      </w:r>
    </w:p>
    <w:p>
      <w:pPr>
        <w:pStyle w:val="Normal"/>
        <w:jc w:val="center"/>
        <w:rPr>
          <w:rFonts w:ascii="Arial" w:hAnsi="Arial" w:cs="Arial"/>
          <w:sz w:val="28"/>
          <w:szCs w:val="28"/>
        </w:rPr>
      </w:pPr>
      <w:r>
        <w:rPr>
          <w:rFonts w:cs="Arial" w:ascii="Arial" w:hAnsi="Arial"/>
          <w:sz w:val="28"/>
          <w:szCs w:val="28"/>
        </w:rPr>
        <w:t>JOÃO RAIMUNDO COLOMBO</w:t>
      </w:r>
    </w:p>
    <w:p>
      <w:pPr>
        <w:pStyle w:val="Normal"/>
        <w:jc w:val="center"/>
        <w:rPr>
          <w:rFonts w:ascii="Arial" w:hAnsi="Arial" w:cs="Arial"/>
          <w:sz w:val="28"/>
          <w:szCs w:val="28"/>
        </w:rPr>
      </w:pPr>
      <w:r>
        <w:rPr>
          <w:rFonts w:cs="Arial" w:ascii="Arial" w:hAnsi="Arial"/>
          <w:sz w:val="28"/>
          <w:szCs w:val="28"/>
        </w:rPr>
      </w:r>
    </w:p>
    <w:p>
      <w:pPr>
        <w:pStyle w:val="Normal"/>
        <w:jc w:val="center"/>
        <w:rPr>
          <w:rStyle w:val="Strong"/>
          <w:rFonts w:ascii="Arial" w:hAnsi="Arial" w:cs="Arial"/>
          <w:b w:val="false"/>
          <w:b w:val="false"/>
          <w:sz w:val="28"/>
          <w:szCs w:val="28"/>
          <w:highlight w:val="white"/>
        </w:rPr>
      </w:pPr>
      <w:r>
        <w:rPr>
          <w:rFonts w:cs="Arial" w:ascii="Arial" w:hAnsi="Arial"/>
          <w:sz w:val="28"/>
          <w:szCs w:val="28"/>
        </w:rPr>
        <w:t>Secret</w:t>
      </w:r>
      <w:r>
        <w:rPr>
          <w:rFonts w:cs="Arial" w:ascii="Arial" w:hAnsi="Arial"/>
          <w:sz w:val="28"/>
          <w:szCs w:val="28"/>
          <w:shd w:fill="FFFFFF" w:val="clear"/>
        </w:rPr>
        <w:t>ário de Estado da Saúde</w:t>
      </w:r>
    </w:p>
    <w:p>
      <w:pPr>
        <w:pStyle w:val="Normal"/>
        <w:jc w:val="center"/>
        <w:rPr/>
      </w:pPr>
      <w:r>
        <w:rPr>
          <w:rStyle w:val="Strong"/>
          <w:rFonts w:cs="Arial" w:ascii="Arial" w:hAnsi="Arial"/>
          <w:b w:val="false"/>
          <w:sz w:val="28"/>
          <w:szCs w:val="28"/>
          <w:highlight w:val="white"/>
          <w:shd w:fill="FFFFFF" w:val="clear"/>
        </w:rPr>
        <w:t>VICENTE AUGUSTO CAROPRESO</w:t>
      </w:r>
    </w:p>
    <w:p>
      <w:pPr>
        <w:pStyle w:val="Normal"/>
        <w:jc w:val="center"/>
        <w:rPr>
          <w:rFonts w:ascii="Arial" w:hAnsi="Arial" w:cs="Arial"/>
          <w:sz w:val="28"/>
          <w:szCs w:val="28"/>
          <w:shd w:fill="FFFFFF" w:val="clear"/>
        </w:rPr>
      </w:pPr>
      <w:r>
        <w:rPr>
          <w:rFonts w:cs="Arial" w:ascii="Arial" w:hAnsi="Arial"/>
          <w:sz w:val="28"/>
          <w:szCs w:val="28"/>
          <w:shd w:fill="FFFFFF" w:val="clear"/>
        </w:rPr>
      </w:r>
    </w:p>
    <w:p>
      <w:pPr>
        <w:pStyle w:val="Normal"/>
        <w:jc w:val="center"/>
        <w:rPr>
          <w:rStyle w:val="Strong"/>
          <w:rFonts w:ascii="Arial" w:hAnsi="Arial" w:cs="Arial"/>
          <w:b w:val="false"/>
          <w:b w:val="false"/>
          <w:sz w:val="28"/>
          <w:szCs w:val="28"/>
          <w:highlight w:val="white"/>
        </w:rPr>
      </w:pPr>
      <w:r>
        <w:rPr>
          <w:rFonts w:cs="Arial" w:ascii="Arial" w:hAnsi="Arial"/>
          <w:sz w:val="28"/>
          <w:szCs w:val="28"/>
          <w:shd w:fill="FFFFFF" w:val="clear"/>
        </w:rPr>
        <w:t>Secretário-adjunto de Estado da Saúde</w:t>
      </w:r>
    </w:p>
    <w:p>
      <w:pPr>
        <w:pStyle w:val="Normal"/>
        <w:jc w:val="center"/>
        <w:rPr>
          <w:rFonts w:ascii="Arial" w:hAnsi="Arial" w:cs="Arial"/>
          <w:sz w:val="28"/>
          <w:szCs w:val="28"/>
          <w:highlight w:val="white"/>
        </w:rPr>
      </w:pPr>
      <w:r>
        <w:rPr>
          <w:rStyle w:val="Strong"/>
          <w:rFonts w:cs="Arial" w:ascii="Arial" w:hAnsi="Arial"/>
          <w:b w:val="false"/>
          <w:sz w:val="28"/>
          <w:szCs w:val="28"/>
          <w:shd w:fill="FFFFFF" w:val="clear"/>
        </w:rPr>
        <w:t>MURILLO RONALD CAPELLA</w:t>
      </w:r>
    </w:p>
    <w:p>
      <w:pPr>
        <w:pStyle w:val="Normal"/>
        <w:jc w:val="center"/>
        <w:rPr>
          <w:rFonts w:ascii="Arial" w:hAnsi="Arial" w:cs="Arial"/>
          <w:sz w:val="28"/>
          <w:szCs w:val="28"/>
          <w:shd w:fill="FFFFFF" w:val="clear"/>
        </w:rPr>
      </w:pPr>
      <w:r>
        <w:rPr>
          <w:rFonts w:cs="Arial" w:ascii="Arial" w:hAnsi="Arial"/>
          <w:sz w:val="28"/>
          <w:szCs w:val="28"/>
          <w:shd w:fill="FFFFFF" w:val="clear"/>
        </w:rPr>
      </w:r>
    </w:p>
    <w:p>
      <w:pPr>
        <w:pStyle w:val="Normal"/>
        <w:jc w:val="center"/>
        <w:rPr>
          <w:rStyle w:val="Strong"/>
          <w:rFonts w:ascii="Arial" w:hAnsi="Arial" w:cs="Arial"/>
          <w:b w:val="false"/>
          <w:b w:val="false"/>
          <w:sz w:val="28"/>
          <w:szCs w:val="28"/>
          <w:highlight w:val="white"/>
        </w:rPr>
      </w:pPr>
      <w:r>
        <w:rPr>
          <w:rFonts w:cs="Arial" w:ascii="Arial" w:hAnsi="Arial"/>
          <w:sz w:val="28"/>
          <w:szCs w:val="28"/>
          <w:shd w:fill="FFFFFF" w:val="clear"/>
        </w:rPr>
        <w:t>Superintendente de Serviços Especializados e Regulação</w:t>
      </w:r>
    </w:p>
    <w:p>
      <w:pPr>
        <w:pStyle w:val="Normal"/>
        <w:jc w:val="center"/>
        <w:rPr/>
      </w:pPr>
      <w:r>
        <w:rPr>
          <w:rStyle w:val="Strong"/>
          <w:rFonts w:cs="Arial" w:ascii="Arial" w:hAnsi="Arial"/>
          <w:b w:val="false"/>
          <w:sz w:val="28"/>
          <w:szCs w:val="28"/>
          <w:shd w:fill="FFFFFF" w:val="clear"/>
        </w:rPr>
        <w:t>KARIN CRISTINA GELLER LEOPOLDO</w:t>
      </w:r>
    </w:p>
    <w:p>
      <w:pPr>
        <w:pStyle w:val="Normal"/>
        <w:jc w:val="center"/>
        <w:rPr>
          <w:rFonts w:ascii="Arial" w:hAnsi="Arial" w:cs="Arial"/>
          <w:sz w:val="28"/>
          <w:szCs w:val="28"/>
        </w:rPr>
      </w:pPr>
      <w:r>
        <w:rPr>
          <w:rFonts w:cs="Arial" w:ascii="Arial" w:hAnsi="Arial"/>
          <w:sz w:val="28"/>
          <w:szCs w:val="28"/>
        </w:rPr>
      </w:r>
    </w:p>
    <w:p>
      <w:pPr>
        <w:pStyle w:val="Normal"/>
        <w:jc w:val="center"/>
        <w:rPr>
          <w:rStyle w:val="Strong"/>
          <w:rFonts w:ascii="Arial" w:hAnsi="Arial" w:cs="Arial"/>
          <w:b w:val="false"/>
          <w:b w:val="false"/>
          <w:sz w:val="28"/>
          <w:szCs w:val="28"/>
        </w:rPr>
      </w:pPr>
      <w:r>
        <w:rPr>
          <w:rStyle w:val="Strong"/>
          <w:rFonts w:cs="Arial" w:ascii="Arial" w:hAnsi="Arial"/>
          <w:b w:val="false"/>
          <w:sz w:val="28"/>
          <w:szCs w:val="28"/>
        </w:rPr>
        <w:t>Coordenação da Área Técnica da Saúde da Pessoa com Deficiência</w:t>
      </w:r>
    </w:p>
    <w:p>
      <w:pPr>
        <w:pStyle w:val="Normal"/>
        <w:jc w:val="center"/>
        <w:rPr>
          <w:rFonts w:ascii="Arial" w:hAnsi="Arial" w:cs="Arial"/>
          <w:sz w:val="28"/>
          <w:szCs w:val="28"/>
        </w:rPr>
      </w:pPr>
      <w:r>
        <w:rPr>
          <w:rStyle w:val="Strong"/>
          <w:rFonts w:cs="Arial" w:ascii="Arial" w:hAnsi="Arial"/>
          <w:b w:val="false"/>
          <w:sz w:val="28"/>
          <w:szCs w:val="28"/>
        </w:rPr>
        <w:t>JAQUELINE REGINATTO</w:t>
      </w:r>
    </w:p>
    <w:p>
      <w:pPr>
        <w:pStyle w:val="Normal"/>
        <w:jc w:val="center"/>
        <w:rPr>
          <w:rFonts w:ascii="Arial" w:hAnsi="Arial" w:cs="Arial"/>
          <w:sz w:val="28"/>
          <w:szCs w:val="28"/>
        </w:rPr>
      </w:pPr>
      <w:r>
        <w:rPr>
          <w:rFonts w:cs="Arial" w:ascii="Arial" w:hAnsi="Arial"/>
          <w:sz w:val="28"/>
          <w:szCs w:val="28"/>
        </w:rPr>
      </w:r>
    </w:p>
    <w:p>
      <w:pPr>
        <w:pStyle w:val="Normal"/>
        <w:jc w:val="center"/>
        <w:rPr>
          <w:rFonts w:ascii="Arial" w:hAnsi="Arial" w:cs="Arial"/>
          <w:b/>
          <w:b/>
          <w:sz w:val="36"/>
          <w:szCs w:val="36"/>
          <w:lang w:val="es-ES"/>
        </w:rPr>
      </w:pPr>
      <w:r>
        <w:rPr>
          <w:rFonts w:cs="Arial" w:ascii="Arial" w:hAnsi="Arial"/>
          <w:b/>
          <w:sz w:val="36"/>
          <w:szCs w:val="36"/>
          <w:lang w:val="es-ES"/>
        </w:rPr>
      </w:r>
    </w:p>
    <w:p>
      <w:pPr>
        <w:pStyle w:val="Normal"/>
        <w:jc w:val="center"/>
        <w:rPr>
          <w:rFonts w:ascii="Arial" w:hAnsi="Arial" w:cs="Arial"/>
          <w:b/>
          <w:b/>
          <w:sz w:val="48"/>
          <w:szCs w:val="48"/>
        </w:rPr>
      </w:pPr>
      <w:r>
        <w:rPr>
          <w:rFonts w:cs="Arial" w:ascii="Arial" w:hAnsi="Arial"/>
          <w:b/>
          <w:sz w:val="32"/>
          <w:szCs w:val="32"/>
        </w:rPr>
        <w:t>Diretrizes de Atenção à Saúde Auditiva na Rede de Cuidados à Saúde da Pessoa com Deficiência em Santa Catarina</w:t>
      </w:r>
    </w:p>
    <w:p>
      <w:pPr>
        <w:pStyle w:val="Normal"/>
        <w:jc w:val="center"/>
        <w:rPr>
          <w:rFonts w:ascii="Arial" w:hAnsi="Arial" w:cs="Arial"/>
          <w:b/>
          <w:b/>
          <w:sz w:val="48"/>
          <w:szCs w:val="48"/>
        </w:rPr>
      </w:pPr>
      <w:r>
        <w:rPr>
          <w:rFonts w:cs="Arial" w:ascii="Arial" w:hAnsi="Arial"/>
          <w:b/>
          <w:sz w:val="48"/>
          <w:szCs w:val="48"/>
        </w:rPr>
      </w:r>
    </w:p>
    <w:p>
      <w:pPr>
        <w:pStyle w:val="Normal"/>
        <w:rPr>
          <w:rFonts w:ascii="Arial" w:hAnsi="Arial" w:cs="Arial"/>
        </w:rPr>
      </w:pPr>
      <w:r>
        <w:rPr>
          <w:rFonts w:cs="Arial" w:ascii="Arial" w:hAnsi="Arial"/>
        </w:rPr>
      </w:r>
    </w:p>
    <w:tbl>
      <w:tblPr>
        <w:tblW w:w="8382" w:type="dxa"/>
        <w:jc w:val="left"/>
        <w:tblInd w:w="56" w:type="dxa"/>
        <w:tblBorders/>
        <w:tblCellMar>
          <w:top w:w="0" w:type="dxa"/>
          <w:left w:w="10" w:type="dxa"/>
          <w:bottom w:w="0" w:type="dxa"/>
          <w:right w:w="10" w:type="dxa"/>
        </w:tblCellMar>
        <w:tblLook w:firstRow="0" w:noVBand="0" w:lastRow="0" w:firstColumn="0" w:lastColumn="0" w:noHBand="0" w:val="0000"/>
      </w:tblPr>
      <w:tblGrid>
        <w:gridCol w:w="3847"/>
        <w:gridCol w:w="4534"/>
      </w:tblGrid>
      <w:tr>
        <w:trPr/>
        <w:tc>
          <w:tcPr>
            <w:tcW w:w="3847" w:type="dxa"/>
            <w:tcBorders/>
            <w:shd w:color="auto" w:fill="auto" w:val="clear"/>
          </w:tcPr>
          <w:p>
            <w:pPr>
              <w:pStyle w:val="Normal"/>
              <w:rPr>
                <w:rFonts w:ascii="Arial" w:hAnsi="Arial" w:cs="Arial"/>
                <w:sz w:val="28"/>
                <w:szCs w:val="28"/>
              </w:rPr>
            </w:pPr>
            <w:bookmarkStart w:id="0" w:name="__RefHeading__2715_41855624"/>
            <w:bookmarkEnd w:id="0"/>
            <w:r>
              <w:rPr>
                <w:rFonts w:cs="Arial" w:ascii="Arial" w:hAnsi="Arial"/>
                <w:sz w:val="24"/>
                <w:szCs w:val="24"/>
              </w:rPr>
              <w:t>Equipe técnica de elaboração:</w:t>
            </w:r>
          </w:p>
        </w:tc>
        <w:tc>
          <w:tcPr>
            <w:tcW w:w="4534" w:type="dxa"/>
            <w:tcBorders/>
            <w:shd w:color="auto" w:fill="auto" w:val="clear"/>
          </w:tcPr>
          <w:p>
            <w:pPr>
              <w:pStyle w:val="Normal"/>
              <w:rPr>
                <w:rFonts w:ascii="Arial" w:hAnsi="Arial" w:cs="Arial"/>
                <w:sz w:val="28"/>
                <w:szCs w:val="28"/>
              </w:rPr>
            </w:pPr>
            <w:r>
              <w:rPr>
                <w:rFonts w:cs="Arial" w:ascii="Arial" w:hAnsi="Arial"/>
                <w:sz w:val="20"/>
                <w:szCs w:val="20"/>
              </w:rPr>
              <w:t>Adriana Amorim</w:t>
            </w:r>
          </w:p>
          <w:p>
            <w:pPr>
              <w:pStyle w:val="Normal"/>
              <w:rPr>
                <w:rFonts w:ascii="Arial" w:hAnsi="Arial" w:cs="Arial"/>
                <w:sz w:val="28"/>
                <w:szCs w:val="28"/>
              </w:rPr>
            </w:pPr>
            <w:r>
              <w:rPr>
                <w:rFonts w:cs="Arial" w:ascii="Arial" w:hAnsi="Arial"/>
                <w:sz w:val="20"/>
                <w:szCs w:val="20"/>
              </w:rPr>
              <w:t>Adriana Vieira</w:t>
            </w:r>
          </w:p>
          <w:p>
            <w:pPr>
              <w:pStyle w:val="Normal"/>
              <w:rPr>
                <w:rFonts w:ascii="Arial" w:hAnsi="Arial" w:cs="Arial"/>
                <w:sz w:val="28"/>
                <w:szCs w:val="28"/>
              </w:rPr>
            </w:pPr>
            <w:bookmarkStart w:id="1" w:name="__RefHeading__2717_41855624"/>
            <w:bookmarkEnd w:id="1"/>
            <w:r>
              <w:rPr>
                <w:rFonts w:cs="Arial" w:ascii="Arial" w:hAnsi="Arial"/>
                <w:sz w:val="20"/>
                <w:szCs w:val="20"/>
              </w:rPr>
              <w:t>Jaqueline Reginatto</w:t>
            </w:r>
          </w:p>
          <w:p>
            <w:pPr>
              <w:pStyle w:val="Normal"/>
              <w:rPr>
                <w:rFonts w:ascii="Arial" w:hAnsi="Arial" w:cs="Arial"/>
                <w:sz w:val="28"/>
                <w:szCs w:val="28"/>
              </w:rPr>
            </w:pPr>
            <w:r>
              <w:rPr>
                <w:rFonts w:cs="Arial" w:ascii="Arial" w:hAnsi="Arial"/>
                <w:sz w:val="20"/>
                <w:szCs w:val="20"/>
              </w:rPr>
              <w:t>Michele Gindri Vieira</w:t>
            </w:r>
          </w:p>
          <w:p>
            <w:pPr>
              <w:pStyle w:val="Normal"/>
              <w:rPr>
                <w:rFonts w:ascii="Arial" w:hAnsi="Arial" w:cs="Arial"/>
                <w:sz w:val="28"/>
                <w:szCs w:val="28"/>
              </w:rPr>
            </w:pPr>
            <w:r>
              <w:rPr>
                <w:rFonts w:cs="Arial" w:ascii="Arial" w:hAnsi="Arial"/>
                <w:sz w:val="20"/>
                <w:szCs w:val="20"/>
              </w:rPr>
              <w:t xml:space="preserve">Norma Maria Tocchetto de Castro </w:t>
            </w:r>
          </w:p>
          <w:p>
            <w:pPr>
              <w:pStyle w:val="Normal"/>
              <w:rPr>
                <w:sz w:val="20"/>
                <w:szCs w:val="20"/>
              </w:rPr>
            </w:pPr>
            <w:r>
              <w:rPr>
                <w:rFonts w:cs="Arial" w:ascii="Arial" w:hAnsi="Arial"/>
                <w:sz w:val="20"/>
                <w:szCs w:val="20"/>
              </w:rPr>
              <w:t>Sabrina Vieira da Luz</w:t>
            </w:r>
          </w:p>
        </w:tc>
      </w:tr>
    </w:tbl>
    <w:tbl>
      <w:tblPr>
        <w:tblW w:w="8352" w:type="dxa"/>
        <w:jc w:val="left"/>
        <w:tblInd w:w="68" w:type="dxa"/>
        <w:tblBorders/>
        <w:tblCellMar>
          <w:top w:w="0" w:type="dxa"/>
          <w:left w:w="10" w:type="dxa"/>
          <w:bottom w:w="0" w:type="dxa"/>
          <w:right w:w="10" w:type="dxa"/>
        </w:tblCellMar>
        <w:tblLook w:firstRow="0" w:noVBand="0" w:lastRow="0" w:firstColumn="0" w:lastColumn="0" w:noHBand="0" w:val="0000"/>
      </w:tblPr>
      <w:tblGrid>
        <w:gridCol w:w="3859"/>
        <w:gridCol w:w="4493"/>
      </w:tblGrid>
      <w:tr>
        <w:trPr>
          <w:trHeight w:val="1574" w:hRule="atLeast"/>
        </w:trPr>
        <w:tc>
          <w:tcPr>
            <w:tcW w:w="3859" w:type="dxa"/>
            <w:tcBorders/>
            <w:shd w:color="auto" w:fill="auto" w:val="clear"/>
          </w:tcPr>
          <w:p>
            <w:pPr>
              <w:pStyle w:val="Normal"/>
              <w:rPr>
                <w:sz w:val="24"/>
                <w:szCs w:val="24"/>
              </w:rPr>
            </w:pPr>
            <w:r>
              <w:rPr>
                <w:rFonts w:cs="Arial" w:ascii="Arial" w:hAnsi="Arial"/>
                <w:sz w:val="24"/>
                <w:szCs w:val="24"/>
              </w:rPr>
              <w:t>C</w:t>
            </w:r>
            <w:r>
              <w:rPr>
                <w:rFonts w:cs="Arial" w:ascii="Arial" w:hAnsi="Arial"/>
                <w:sz w:val="24"/>
                <w:szCs w:val="24"/>
              </w:rPr>
              <w:t>ontribuição:</w:t>
            </w:r>
          </w:p>
        </w:tc>
        <w:tc>
          <w:tcPr>
            <w:tcW w:w="4493" w:type="dxa"/>
            <w:tcBorders/>
            <w:shd w:color="auto" w:fill="auto" w:val="clear"/>
          </w:tcPr>
          <w:p>
            <w:pPr>
              <w:pStyle w:val="Contedodatabela"/>
              <w:rPr>
                <w:rFonts w:ascii="Arial" w:hAnsi="Arial" w:cs="Arial"/>
                <w:sz w:val="28"/>
                <w:szCs w:val="28"/>
              </w:rPr>
            </w:pPr>
            <w:r>
              <w:rPr>
                <w:rFonts w:cs="Arial" w:ascii="Arial" w:hAnsi="Arial"/>
                <w:sz w:val="20"/>
                <w:szCs w:val="20"/>
              </w:rPr>
              <w:t xml:space="preserve">Cinthia </w:t>
            </w:r>
            <w:r>
              <w:rPr>
                <w:rFonts w:cs="Arial" w:ascii="Arial" w:hAnsi="Arial"/>
                <w:color w:val="222222"/>
                <w:sz w:val="20"/>
                <w:szCs w:val="20"/>
              </w:rPr>
              <w:t>Friedrich</w:t>
            </w:r>
          </w:p>
          <w:p>
            <w:pPr>
              <w:pStyle w:val="Normal"/>
              <w:rPr>
                <w:rFonts w:ascii="Arial" w:hAnsi="Arial" w:cs="Arial"/>
                <w:sz w:val="28"/>
                <w:szCs w:val="28"/>
              </w:rPr>
            </w:pPr>
            <w:r>
              <w:rPr>
                <w:rFonts w:cs="Arial" w:ascii="Arial" w:hAnsi="Arial"/>
                <w:sz w:val="20"/>
                <w:szCs w:val="20"/>
              </w:rPr>
              <w:t>Francine Freiberger</w:t>
            </w:r>
          </w:p>
          <w:p>
            <w:pPr>
              <w:pStyle w:val="Normal"/>
              <w:rPr>
                <w:rFonts w:ascii="Arial" w:hAnsi="Arial" w:cs="Arial"/>
                <w:sz w:val="28"/>
                <w:szCs w:val="28"/>
              </w:rPr>
            </w:pPr>
            <w:r>
              <w:rPr>
                <w:rFonts w:cs="Arial" w:ascii="Arial" w:hAnsi="Arial"/>
                <w:sz w:val="20"/>
                <w:szCs w:val="20"/>
              </w:rPr>
              <w:t>Indiara de Mesquita Fialho</w:t>
            </w:r>
          </w:p>
          <w:p>
            <w:pPr>
              <w:pStyle w:val="Normal"/>
              <w:rPr>
                <w:sz w:val="20"/>
                <w:szCs w:val="20"/>
              </w:rPr>
            </w:pPr>
            <w:r>
              <w:rPr>
                <w:rFonts w:cs="Arial" w:ascii="Arial" w:hAnsi="Arial"/>
                <w:sz w:val="20"/>
                <w:szCs w:val="20"/>
              </w:rPr>
              <w:t>Jessica Liz do N. de Souza</w:t>
            </w:r>
          </w:p>
        </w:tc>
      </w:tr>
      <w:tr>
        <w:trPr>
          <w:trHeight w:val="1574" w:hRule="atLeast"/>
        </w:trPr>
        <w:tc>
          <w:tcPr>
            <w:tcW w:w="3859" w:type="dxa"/>
            <w:tcBorders/>
            <w:shd w:color="auto" w:fill="auto" w:val="clear"/>
          </w:tcPr>
          <w:p>
            <w:pPr>
              <w:pStyle w:val="Normal"/>
              <w:rPr>
                <w:rFonts w:ascii="Arial" w:hAnsi="Arial"/>
                <w:sz w:val="24"/>
                <w:szCs w:val="24"/>
              </w:rPr>
            </w:pPr>
            <w:r>
              <w:rPr>
                <w:rFonts w:ascii="Arial" w:hAnsi="Arial"/>
                <w:sz w:val="24"/>
                <w:szCs w:val="24"/>
              </w:rPr>
              <w:t>Equipe Técnica de Revisão:</w:t>
            </w:r>
          </w:p>
        </w:tc>
        <w:tc>
          <w:tcPr>
            <w:tcW w:w="4493" w:type="dxa"/>
            <w:tcBorders/>
            <w:shd w:color="auto" w:fill="auto" w:val="clear"/>
          </w:tcPr>
          <w:p>
            <w:pPr>
              <w:pStyle w:val="Normal"/>
              <w:rPr>
                <w:rFonts w:ascii="Arial" w:hAnsi="Arial"/>
                <w:sz w:val="20"/>
                <w:szCs w:val="20"/>
              </w:rPr>
            </w:pPr>
            <w:r>
              <w:rPr>
                <w:rFonts w:cs="Arial" w:ascii="Arial" w:hAnsi="Arial"/>
                <w:sz w:val="20"/>
                <w:szCs w:val="20"/>
              </w:rPr>
              <w:t>Jaqueline Reginatto</w:t>
            </w:r>
          </w:p>
          <w:p>
            <w:pPr>
              <w:pStyle w:val="Normal"/>
              <w:rPr>
                <w:rFonts w:ascii="Arial" w:hAnsi="Arial"/>
                <w:sz w:val="20"/>
                <w:szCs w:val="20"/>
              </w:rPr>
            </w:pPr>
            <w:r>
              <w:rPr>
                <w:rFonts w:cs="Arial" w:ascii="Arial" w:hAnsi="Arial"/>
                <w:sz w:val="20"/>
                <w:szCs w:val="20"/>
              </w:rPr>
              <w:t>Sabrina Vieira da Luz</w:t>
            </w:r>
          </w:p>
        </w:tc>
      </w:tr>
    </w:tbl>
    <w:p>
      <w:pPr>
        <w:pStyle w:val="Normal"/>
        <w:rPr>
          <w:rFonts w:ascii="Arial" w:hAnsi="Arial" w:cs="Arial"/>
          <w:b/>
          <w:b/>
          <w:sz w:val="28"/>
          <w:szCs w:val="28"/>
        </w:rPr>
      </w:pPr>
      <w:r>
        <w:rPr>
          <w:rFonts w:cs="Arial" w:ascii="Arial" w:hAnsi="Arial"/>
          <w:b/>
          <w:sz w:val="28"/>
          <w:szCs w:val="28"/>
        </w:rPr>
      </w:r>
    </w:p>
    <w:p>
      <w:pPr>
        <w:pStyle w:val="Indexheading"/>
        <w:spacing w:lineRule="auto" w:line="360" w:before="120" w:after="120"/>
        <w:jc w:val="center"/>
        <w:rPr>
          <w:rFonts w:ascii="Arial" w:hAnsi="Arial" w:cs="Arial"/>
          <w:b/>
          <w:b/>
          <w:sz w:val="24"/>
          <w:szCs w:val="24"/>
        </w:rPr>
      </w:pPr>
      <w:r>
        <w:rPr>
          <w:rFonts w:cs="Arial" w:ascii="Arial" w:hAnsi="Arial"/>
          <w:b/>
          <w:sz w:val="24"/>
          <w:szCs w:val="24"/>
        </w:rPr>
        <w:t>SIGLAS E ABREVIATURAS</w:t>
      </w:r>
    </w:p>
    <w:p>
      <w:pPr>
        <w:pStyle w:val="Normal"/>
        <w:spacing w:lineRule="auto" w:line="360" w:before="120" w:after="120"/>
        <w:jc w:val="center"/>
        <w:rPr>
          <w:rFonts w:ascii="Arial" w:hAnsi="Arial" w:cs="Arial"/>
          <w:b/>
          <w:b/>
          <w:sz w:val="24"/>
          <w:szCs w:val="24"/>
        </w:rPr>
      </w:pPr>
      <w:r>
        <w:rPr>
          <w:rFonts w:cs="Arial" w:ascii="Arial" w:hAnsi="Arial"/>
          <w:b/>
          <w:sz w:val="24"/>
          <w:szCs w:val="24"/>
        </w:rPr>
      </w:r>
    </w:p>
    <w:tbl>
      <w:tblPr>
        <w:tblW w:w="8453" w:type="dxa"/>
        <w:jc w:val="left"/>
        <w:tblInd w:w="98" w:type="dxa"/>
        <w:tblBorders/>
        <w:tblCellMar>
          <w:top w:w="0" w:type="dxa"/>
          <w:left w:w="70" w:type="dxa"/>
          <w:bottom w:w="0" w:type="dxa"/>
          <w:right w:w="70" w:type="dxa"/>
        </w:tblCellMar>
        <w:tblLook w:firstRow="0" w:noVBand="0" w:lastRow="0" w:firstColumn="0" w:lastColumn="0" w:noHBand="0" w:val="0000"/>
      </w:tblPr>
      <w:tblGrid>
        <w:gridCol w:w="1676"/>
        <w:gridCol w:w="6776"/>
      </w:tblGrid>
      <w:tr>
        <w:trPr/>
        <w:tc>
          <w:tcPr>
            <w:tcW w:w="1676" w:type="dxa"/>
            <w:tcBorders/>
            <w:shd w:color="auto" w:fill="auto" w:val="clear"/>
          </w:tcPr>
          <w:p>
            <w:pPr>
              <w:pStyle w:val="Normal"/>
              <w:spacing w:lineRule="auto" w:line="360"/>
              <w:rPr>
                <w:rFonts w:ascii="Arial" w:hAnsi="Arial" w:cs="Arial"/>
                <w:bCs/>
                <w:iCs/>
                <w:color w:val="00000A"/>
                <w:sz w:val="24"/>
                <w:szCs w:val="24"/>
                <w:highlight w:val="white"/>
                <w:u w:val="none"/>
              </w:rPr>
            </w:pPr>
            <w:r>
              <w:rPr>
                <w:rFonts w:cs="Arial" w:ascii="Arial" w:hAnsi="Arial"/>
                <w:bCs/>
                <w:iCs/>
                <w:sz w:val="24"/>
                <w:szCs w:val="24"/>
              </w:rPr>
              <w:t>AADAV</w:t>
            </w:r>
          </w:p>
        </w:tc>
        <w:tc>
          <w:tcPr>
            <w:tcW w:w="6776" w:type="dxa"/>
            <w:tcBorders/>
            <w:shd w:color="auto" w:fill="auto" w:val="clear"/>
          </w:tcPr>
          <w:p>
            <w:pPr>
              <w:pStyle w:val="Contedodatabela"/>
              <w:spacing w:lineRule="auto" w:line="360"/>
              <w:rPr/>
            </w:pPr>
            <w:r>
              <w:rPr>
                <w:rFonts w:cs="Arial" w:ascii="Arial" w:hAnsi="Arial"/>
                <w:bCs/>
                <w:iCs/>
                <w:color w:val="00000A"/>
                <w:sz w:val="24"/>
                <w:szCs w:val="24"/>
                <w:u w:val="none"/>
                <w:shd w:fill="FFFFFF" w:val="clear"/>
              </w:rPr>
              <w:t>Associação Assistencial dos Deficientes Auditivos e Visuais</w:t>
            </w:r>
          </w:p>
        </w:tc>
      </w:tr>
      <w:tr>
        <w:trPr/>
        <w:tc>
          <w:tcPr>
            <w:tcW w:w="1676" w:type="dxa"/>
            <w:tcBorders/>
            <w:shd w:color="auto" w:fill="auto" w:val="clear"/>
          </w:tcPr>
          <w:p>
            <w:pPr>
              <w:pStyle w:val="Normal"/>
              <w:spacing w:lineRule="auto" w:line="360"/>
              <w:rPr>
                <w:rFonts w:ascii="Arial" w:hAnsi="Arial" w:cs="Arial"/>
                <w:bCs/>
                <w:iCs/>
                <w:sz w:val="24"/>
                <w:szCs w:val="24"/>
              </w:rPr>
            </w:pPr>
            <w:r>
              <w:rPr>
                <w:rFonts w:cs="Arial" w:ascii="Arial" w:hAnsi="Arial"/>
                <w:bCs/>
                <w:iCs/>
                <w:sz w:val="24"/>
                <w:szCs w:val="24"/>
              </w:rPr>
              <w:t>AASI</w:t>
            </w:r>
          </w:p>
        </w:tc>
        <w:tc>
          <w:tcPr>
            <w:tcW w:w="6776" w:type="dxa"/>
            <w:tcBorders/>
            <w:shd w:color="auto" w:fill="auto" w:val="clear"/>
          </w:tcPr>
          <w:p>
            <w:pPr>
              <w:pStyle w:val="Normal"/>
              <w:spacing w:lineRule="auto" w:line="360"/>
              <w:rPr/>
            </w:pPr>
            <w:r>
              <w:rPr>
                <w:rFonts w:cs="Arial" w:ascii="Arial" w:hAnsi="Arial"/>
                <w:bCs/>
                <w:iCs/>
                <w:sz w:val="24"/>
                <w:szCs w:val="24"/>
              </w:rPr>
              <w:t>Aparelho de Amplificação Sonora Individual</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cs="Arial" w:ascii="Arial" w:hAnsi="Arial"/>
                <w:bCs/>
                <w:sz w:val="24"/>
                <w:szCs w:val="24"/>
              </w:rPr>
              <w:t>ABNT</w:t>
            </w:r>
          </w:p>
        </w:tc>
        <w:tc>
          <w:tcPr>
            <w:tcW w:w="6776" w:type="dxa"/>
            <w:tcBorders/>
            <w:shd w:color="auto" w:fill="auto" w:val="clear"/>
          </w:tcPr>
          <w:p>
            <w:pPr>
              <w:pStyle w:val="Normal"/>
              <w:spacing w:lineRule="auto" w:line="360"/>
              <w:jc w:val="both"/>
              <w:rPr/>
            </w:pPr>
            <w:r>
              <w:rPr>
                <w:rFonts w:cs="Arial" w:ascii="Arial" w:hAnsi="Arial"/>
                <w:bCs/>
                <w:sz w:val="24"/>
                <w:szCs w:val="24"/>
              </w:rPr>
              <w:t>Associação Brasileira de Normas Técnicas</w:t>
            </w:r>
          </w:p>
        </w:tc>
      </w:tr>
      <w:tr>
        <w:trPr/>
        <w:tc>
          <w:tcPr>
            <w:tcW w:w="1676" w:type="dxa"/>
            <w:tcBorders/>
            <w:shd w:color="auto" w:fill="auto" w:val="clear"/>
          </w:tcPr>
          <w:p>
            <w:pPr>
              <w:pStyle w:val="Normal"/>
              <w:spacing w:lineRule="auto" w:line="360"/>
              <w:rPr>
                <w:rFonts w:ascii="Arial" w:hAnsi="Arial" w:cs="Arial"/>
                <w:bCs/>
                <w:sz w:val="24"/>
                <w:szCs w:val="24"/>
              </w:rPr>
            </w:pPr>
            <w:r>
              <w:rPr>
                <w:rFonts w:eastAsia="SimSun" w:cs="Arial" w:ascii="Arial" w:hAnsi="Arial"/>
                <w:sz w:val="24"/>
                <w:szCs w:val="24"/>
                <w:lang w:bidi="hi-IN"/>
              </w:rPr>
              <w:t>APAC</w:t>
            </w:r>
          </w:p>
        </w:tc>
        <w:tc>
          <w:tcPr>
            <w:tcW w:w="6776" w:type="dxa"/>
            <w:tcBorders/>
            <w:shd w:color="auto" w:fill="auto" w:val="clear"/>
          </w:tcPr>
          <w:p>
            <w:pPr>
              <w:pStyle w:val="Normal"/>
              <w:spacing w:lineRule="auto" w:line="360"/>
              <w:jc w:val="both"/>
              <w:rPr/>
            </w:pPr>
            <w:r>
              <w:rPr>
                <w:rFonts w:cs="Arial" w:ascii="Arial" w:hAnsi="Arial"/>
                <w:bCs/>
                <w:sz w:val="24"/>
                <w:szCs w:val="24"/>
              </w:rPr>
              <w:t>Autorização de Procedimento de Alto Custo</w:t>
            </w:r>
          </w:p>
        </w:tc>
      </w:tr>
      <w:tr>
        <w:trPr/>
        <w:tc>
          <w:tcPr>
            <w:tcW w:w="1676" w:type="dxa"/>
            <w:tcBorders/>
            <w:shd w:color="auto" w:fill="auto" w:val="clear"/>
          </w:tcPr>
          <w:p>
            <w:pPr>
              <w:pStyle w:val="Normal"/>
              <w:spacing w:lineRule="auto" w:line="360"/>
              <w:rPr>
                <w:rFonts w:ascii="Arial" w:hAnsi="Arial" w:cs="Arial"/>
                <w:bCs/>
                <w:sz w:val="24"/>
                <w:szCs w:val="24"/>
              </w:rPr>
            </w:pPr>
            <w:r>
              <w:rPr>
                <w:rFonts w:eastAsia="SimSun" w:cs="Arial" w:ascii="Arial" w:hAnsi="Arial"/>
                <w:sz w:val="24"/>
                <w:szCs w:val="24"/>
                <w:lang w:bidi="hi-IN"/>
              </w:rPr>
              <w:t>ATPCD</w:t>
            </w:r>
          </w:p>
        </w:tc>
        <w:tc>
          <w:tcPr>
            <w:tcW w:w="6776" w:type="dxa"/>
            <w:tcBorders/>
            <w:shd w:color="auto" w:fill="auto" w:val="clear"/>
          </w:tcPr>
          <w:p>
            <w:pPr>
              <w:pStyle w:val="Normal"/>
              <w:spacing w:lineRule="auto" w:line="360"/>
              <w:jc w:val="both"/>
              <w:rPr/>
            </w:pPr>
            <w:r>
              <w:rPr>
                <w:rFonts w:cs="Arial" w:ascii="Arial" w:hAnsi="Arial"/>
                <w:bCs/>
                <w:sz w:val="24"/>
                <w:szCs w:val="24"/>
              </w:rPr>
              <w:t>Área Técnica da Pessoa Com Deficiência</w:t>
            </w:r>
          </w:p>
        </w:tc>
      </w:tr>
      <w:tr>
        <w:trPr/>
        <w:tc>
          <w:tcPr>
            <w:tcW w:w="1676" w:type="dxa"/>
            <w:tcBorders/>
            <w:shd w:color="auto" w:fill="auto" w:val="clear"/>
          </w:tcPr>
          <w:p>
            <w:pPr>
              <w:pStyle w:val="Normal"/>
              <w:spacing w:lineRule="auto" w:line="360"/>
              <w:rPr>
                <w:rFonts w:ascii="Arial" w:hAnsi="Arial" w:cs="Arial"/>
                <w:bCs/>
                <w:sz w:val="24"/>
                <w:szCs w:val="24"/>
              </w:rPr>
            </w:pPr>
            <w:r>
              <w:rPr>
                <w:rFonts w:eastAsia="SimSun" w:cs="Arial" w:ascii="Arial" w:hAnsi="Arial"/>
                <w:sz w:val="24"/>
                <w:szCs w:val="24"/>
                <w:lang w:bidi="hi-IN"/>
              </w:rPr>
              <w:t>BO</w:t>
            </w:r>
          </w:p>
        </w:tc>
        <w:tc>
          <w:tcPr>
            <w:tcW w:w="6776" w:type="dxa"/>
            <w:tcBorders/>
            <w:shd w:color="auto" w:fill="auto" w:val="clear"/>
          </w:tcPr>
          <w:p>
            <w:pPr>
              <w:pStyle w:val="Normal"/>
              <w:spacing w:lineRule="auto" w:line="360"/>
              <w:rPr/>
            </w:pPr>
            <w:r>
              <w:rPr>
                <w:rFonts w:cs="Arial" w:ascii="Arial" w:hAnsi="Arial"/>
                <w:bCs/>
                <w:sz w:val="24"/>
                <w:szCs w:val="24"/>
              </w:rPr>
              <w:t>Boletim de Ocorrência</w:t>
            </w:r>
          </w:p>
        </w:tc>
      </w:tr>
      <w:tr>
        <w:trPr/>
        <w:tc>
          <w:tcPr>
            <w:tcW w:w="1676" w:type="dxa"/>
            <w:tcBorders/>
            <w:shd w:color="auto" w:fill="auto" w:val="clear"/>
          </w:tcPr>
          <w:p>
            <w:pPr>
              <w:pStyle w:val="Normal"/>
              <w:spacing w:lineRule="auto" w:line="360"/>
              <w:rPr>
                <w:rFonts w:ascii="Arial" w:hAnsi="Arial" w:cs="Arial"/>
                <w:bCs/>
                <w:sz w:val="24"/>
                <w:szCs w:val="24"/>
              </w:rPr>
            </w:pPr>
            <w:r>
              <w:rPr>
                <w:rFonts w:cs="Arial" w:ascii="Arial" w:hAnsi="Arial"/>
                <w:sz w:val="24"/>
                <w:szCs w:val="24"/>
              </w:rPr>
              <w:t>CER</w:t>
            </w:r>
          </w:p>
        </w:tc>
        <w:tc>
          <w:tcPr>
            <w:tcW w:w="6776" w:type="dxa"/>
            <w:tcBorders/>
            <w:shd w:color="auto" w:fill="auto" w:val="clear"/>
          </w:tcPr>
          <w:p>
            <w:pPr>
              <w:pStyle w:val="Normal"/>
              <w:spacing w:lineRule="auto" w:line="360"/>
              <w:rPr/>
            </w:pPr>
            <w:r>
              <w:rPr>
                <w:rFonts w:cs="Arial" w:ascii="Arial" w:hAnsi="Arial"/>
                <w:bCs/>
                <w:sz w:val="24"/>
                <w:szCs w:val="24"/>
              </w:rPr>
              <w:t>Centro Especializado em Reabilitação</w:t>
            </w:r>
          </w:p>
        </w:tc>
      </w:tr>
      <w:tr>
        <w:trPr/>
        <w:tc>
          <w:tcPr>
            <w:tcW w:w="1676" w:type="dxa"/>
            <w:tcBorders/>
            <w:shd w:color="auto" w:fill="auto" w:val="clear"/>
          </w:tcPr>
          <w:p>
            <w:pPr>
              <w:pStyle w:val="Normal"/>
              <w:spacing w:lineRule="auto" w:line="360"/>
              <w:rPr>
                <w:rFonts w:ascii="Arial" w:hAnsi="Arial" w:cs="Arial"/>
                <w:bCs/>
                <w:sz w:val="24"/>
                <w:szCs w:val="24"/>
              </w:rPr>
            </w:pPr>
            <w:r>
              <w:rPr>
                <w:rFonts w:eastAsia="SimSun" w:cs="Arial" w:ascii="Arial" w:hAnsi="Arial"/>
                <w:sz w:val="24"/>
                <w:szCs w:val="24"/>
                <w:lang w:bidi="hi-IN"/>
              </w:rPr>
              <w:t>CIB</w:t>
            </w:r>
          </w:p>
        </w:tc>
        <w:tc>
          <w:tcPr>
            <w:tcW w:w="6776" w:type="dxa"/>
            <w:tcBorders/>
            <w:shd w:color="auto" w:fill="auto" w:val="clear"/>
          </w:tcPr>
          <w:p>
            <w:pPr>
              <w:pStyle w:val="Normal"/>
              <w:spacing w:lineRule="auto" w:line="360"/>
              <w:rPr/>
            </w:pPr>
            <w:r>
              <w:rPr>
                <w:rFonts w:cs="Arial" w:ascii="Arial" w:hAnsi="Arial"/>
                <w:bCs/>
                <w:sz w:val="24"/>
                <w:szCs w:val="24"/>
              </w:rPr>
              <w:t>Comissão Intergestores Bipartite</w:t>
            </w:r>
          </w:p>
        </w:tc>
      </w:tr>
      <w:tr>
        <w:trPr/>
        <w:tc>
          <w:tcPr>
            <w:tcW w:w="1676" w:type="dxa"/>
            <w:tcBorders/>
            <w:shd w:color="auto" w:fill="auto" w:val="clear"/>
          </w:tcPr>
          <w:p>
            <w:pPr>
              <w:pStyle w:val="Normal"/>
              <w:spacing w:lineRule="auto" w:line="360"/>
              <w:jc w:val="both"/>
              <w:textAlignment w:val="auto"/>
              <w:rPr>
                <w:rFonts w:ascii="Arial" w:hAnsi="Arial" w:cs="Arial"/>
                <w:bCs/>
                <w:sz w:val="24"/>
                <w:szCs w:val="24"/>
              </w:rPr>
            </w:pPr>
            <w:r>
              <w:rPr>
                <w:rFonts w:eastAsia="SimSun" w:cs="Arial" w:ascii="Arial" w:hAnsi="Arial"/>
                <w:sz w:val="24"/>
                <w:szCs w:val="24"/>
                <w:lang w:bidi="hi-IN"/>
              </w:rPr>
              <w:t>CNES</w:t>
            </w:r>
          </w:p>
        </w:tc>
        <w:tc>
          <w:tcPr>
            <w:tcW w:w="6776" w:type="dxa"/>
            <w:tcBorders/>
            <w:shd w:color="auto" w:fill="auto" w:val="clear"/>
          </w:tcPr>
          <w:p>
            <w:pPr>
              <w:pStyle w:val="Normal"/>
              <w:spacing w:lineRule="auto" w:line="360"/>
              <w:rPr/>
            </w:pPr>
            <w:r>
              <w:rPr>
                <w:rFonts w:cs="Arial" w:ascii="Arial" w:hAnsi="Arial"/>
                <w:bCs/>
                <w:sz w:val="24"/>
                <w:szCs w:val="24"/>
              </w:rPr>
              <w:t>Cadastro Nacional de Estabelecimentos de Saúde</w:t>
            </w:r>
          </w:p>
        </w:tc>
      </w:tr>
      <w:tr>
        <w:trPr/>
        <w:tc>
          <w:tcPr>
            <w:tcW w:w="1676" w:type="dxa"/>
            <w:tcBorders/>
            <w:shd w:color="auto" w:fill="auto" w:val="clear"/>
          </w:tcPr>
          <w:p>
            <w:pPr>
              <w:pStyle w:val="Normal"/>
              <w:spacing w:lineRule="auto" w:line="360"/>
              <w:jc w:val="both"/>
              <w:textAlignment w:val="auto"/>
              <w:rPr>
                <w:rFonts w:ascii="Arial" w:hAnsi="Arial" w:cs="Arial"/>
                <w:sz w:val="24"/>
                <w:szCs w:val="24"/>
              </w:rPr>
            </w:pPr>
            <w:r>
              <w:rPr>
                <w:rFonts w:eastAsia="SimSun" w:cs="Arial" w:ascii="Arial" w:hAnsi="Arial"/>
                <w:sz w:val="24"/>
                <w:szCs w:val="24"/>
                <w:lang w:bidi="hi-IN"/>
              </w:rPr>
              <w:t>CONITEC</w:t>
            </w:r>
          </w:p>
        </w:tc>
        <w:tc>
          <w:tcPr>
            <w:tcW w:w="6776" w:type="dxa"/>
            <w:tcBorders/>
            <w:shd w:color="auto" w:fill="auto" w:val="clear"/>
          </w:tcPr>
          <w:p>
            <w:pPr>
              <w:pStyle w:val="Normal"/>
              <w:spacing w:lineRule="auto" w:line="360"/>
              <w:jc w:val="both"/>
              <w:rPr/>
            </w:pPr>
            <w:r>
              <w:rPr>
                <w:rFonts w:cs="Arial" w:ascii="Arial" w:hAnsi="Arial"/>
                <w:sz w:val="24"/>
                <w:szCs w:val="24"/>
              </w:rPr>
              <w:t>Comissão Nacional de Incorporação de Tecnologias</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eastAsia="SimSun" w:cs="Arial" w:ascii="Arial" w:hAnsi="Arial"/>
                <w:sz w:val="24"/>
                <w:szCs w:val="24"/>
                <w:lang w:bidi="hi-IN"/>
              </w:rPr>
              <w:t>DBNA</w:t>
            </w:r>
          </w:p>
        </w:tc>
        <w:tc>
          <w:tcPr>
            <w:tcW w:w="6776" w:type="dxa"/>
            <w:tcBorders/>
            <w:shd w:color="auto" w:fill="auto" w:val="clear"/>
          </w:tcPr>
          <w:p>
            <w:pPr>
              <w:pStyle w:val="Normal"/>
              <w:spacing w:lineRule="auto" w:line="360"/>
              <w:rPr/>
            </w:pPr>
            <w:r>
              <w:rPr>
                <w:rFonts w:cs="Arial" w:ascii="Arial" w:hAnsi="Arial"/>
                <w:bCs/>
                <w:sz w:val="24"/>
                <w:szCs w:val="24"/>
              </w:rPr>
              <w:t>Decibéis Nível de Audição</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eastAsia="SimSun" w:cs="Arial" w:ascii="Arial" w:hAnsi="Arial"/>
                <w:bCs/>
                <w:sz w:val="24"/>
                <w:szCs w:val="24"/>
                <w:lang w:bidi="hi-IN"/>
              </w:rPr>
              <w:t>DIAM</w:t>
            </w:r>
          </w:p>
        </w:tc>
        <w:tc>
          <w:tcPr>
            <w:tcW w:w="6776" w:type="dxa"/>
            <w:tcBorders/>
            <w:shd w:color="auto" w:fill="auto" w:val="clear"/>
          </w:tcPr>
          <w:p>
            <w:pPr>
              <w:pStyle w:val="Normal"/>
              <w:spacing w:lineRule="auto" w:line="360"/>
              <w:rPr/>
            </w:pPr>
            <w:r>
              <w:rPr>
                <w:rFonts w:cs="Arial" w:ascii="Arial" w:hAnsi="Arial"/>
                <w:bCs/>
                <w:sz w:val="24"/>
                <w:szCs w:val="24"/>
              </w:rPr>
              <w:t>Diretoria de Assuntos Ambulatoriais</w:t>
            </w:r>
          </w:p>
        </w:tc>
      </w:tr>
      <w:tr>
        <w:trPr/>
        <w:tc>
          <w:tcPr>
            <w:tcW w:w="1676" w:type="dxa"/>
            <w:tcBorders/>
            <w:shd w:color="auto" w:fill="auto" w:val="clear"/>
          </w:tcPr>
          <w:p>
            <w:pPr>
              <w:pStyle w:val="Normal"/>
              <w:widowControl/>
              <w:spacing w:lineRule="auto" w:line="360"/>
              <w:jc w:val="both"/>
              <w:rPr>
                <w:rFonts w:ascii="Arial" w:hAnsi="Arial" w:cs="Arial"/>
                <w:sz w:val="24"/>
                <w:szCs w:val="24"/>
              </w:rPr>
            </w:pPr>
            <w:r>
              <w:rPr>
                <w:rFonts w:eastAsia="SimSun" w:cs="Arial" w:ascii="Arial" w:hAnsi="Arial"/>
                <w:sz w:val="24"/>
                <w:szCs w:val="24"/>
                <w:lang w:bidi="hi-IN"/>
              </w:rPr>
              <w:t>DGITS</w:t>
            </w:r>
          </w:p>
        </w:tc>
        <w:tc>
          <w:tcPr>
            <w:tcW w:w="6776" w:type="dxa"/>
            <w:tcBorders/>
            <w:shd w:color="auto" w:fill="auto" w:val="clear"/>
          </w:tcPr>
          <w:p>
            <w:pPr>
              <w:pStyle w:val="Normal"/>
              <w:spacing w:lineRule="auto" w:line="360"/>
              <w:jc w:val="both"/>
              <w:rPr/>
            </w:pPr>
            <w:r>
              <w:rPr>
                <w:rFonts w:cs="Arial" w:ascii="Arial" w:hAnsi="Arial"/>
                <w:sz w:val="24"/>
                <w:szCs w:val="24"/>
              </w:rPr>
              <w:t xml:space="preserve">Departamento de Gestão e Incorporação de Tecnologias em Saúde </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cs="Arial" w:ascii="Arial" w:hAnsi="Arial"/>
                <w:bCs/>
                <w:sz w:val="24"/>
                <w:szCs w:val="24"/>
              </w:rPr>
              <w:t>EOAE</w:t>
            </w:r>
          </w:p>
        </w:tc>
        <w:tc>
          <w:tcPr>
            <w:tcW w:w="6776" w:type="dxa"/>
            <w:tcBorders/>
            <w:shd w:color="auto" w:fill="auto" w:val="clear"/>
          </w:tcPr>
          <w:p>
            <w:pPr>
              <w:pStyle w:val="Normal"/>
              <w:spacing w:lineRule="auto" w:line="360"/>
              <w:jc w:val="both"/>
              <w:rPr/>
            </w:pPr>
            <w:r>
              <w:rPr>
                <w:rFonts w:cs="Arial" w:ascii="Arial" w:hAnsi="Arial"/>
                <w:bCs/>
                <w:sz w:val="24"/>
                <w:szCs w:val="24"/>
              </w:rPr>
              <w:t>Emissões Otoacústicas Evocadas</w:t>
            </w:r>
          </w:p>
        </w:tc>
      </w:tr>
      <w:tr>
        <w:trPr/>
        <w:tc>
          <w:tcPr>
            <w:tcW w:w="1676" w:type="dxa"/>
            <w:tcBorders/>
            <w:shd w:color="auto" w:fill="auto" w:val="clear"/>
          </w:tcPr>
          <w:p>
            <w:pPr>
              <w:pStyle w:val="Corpodetexto"/>
              <w:widowControl/>
              <w:spacing w:lineRule="auto" w:line="360" w:before="0" w:after="0"/>
              <w:jc w:val="both"/>
              <w:rPr>
                <w:rFonts w:ascii="Arial" w:hAnsi="Arial" w:cs="Arial"/>
                <w:bCs/>
                <w:sz w:val="24"/>
                <w:szCs w:val="24"/>
              </w:rPr>
            </w:pPr>
            <w:r>
              <w:rPr>
                <w:rFonts w:eastAsia="SimSun" w:cs="Arial" w:ascii="Arial" w:hAnsi="Arial"/>
                <w:sz w:val="24"/>
                <w:szCs w:val="24"/>
                <w:lang w:bidi="hi-IN"/>
              </w:rPr>
              <w:t>ESF</w:t>
            </w:r>
          </w:p>
        </w:tc>
        <w:tc>
          <w:tcPr>
            <w:tcW w:w="6776" w:type="dxa"/>
            <w:tcBorders/>
            <w:shd w:color="auto" w:fill="auto" w:val="clear"/>
          </w:tcPr>
          <w:p>
            <w:pPr>
              <w:pStyle w:val="Normal"/>
              <w:spacing w:lineRule="auto" w:line="360"/>
              <w:rPr/>
            </w:pPr>
            <w:r>
              <w:rPr>
                <w:rFonts w:cs="Arial" w:ascii="Arial" w:hAnsi="Arial"/>
                <w:bCs/>
                <w:sz w:val="24"/>
                <w:szCs w:val="24"/>
              </w:rPr>
              <w:t>Estratégia de Saúde da Família</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eastAsia="SimSun" w:cs="Arial" w:ascii="Arial" w:hAnsi="Arial"/>
                <w:sz w:val="24"/>
                <w:szCs w:val="24"/>
                <w:lang w:bidi="hi-IN"/>
              </w:rPr>
              <w:t>FM</w:t>
            </w:r>
          </w:p>
        </w:tc>
        <w:tc>
          <w:tcPr>
            <w:tcW w:w="6776" w:type="dxa"/>
            <w:tcBorders/>
            <w:shd w:color="auto" w:fill="auto" w:val="clear"/>
          </w:tcPr>
          <w:p>
            <w:pPr>
              <w:pStyle w:val="Normal"/>
              <w:spacing w:lineRule="auto" w:line="360"/>
              <w:rPr/>
            </w:pPr>
            <w:r>
              <w:rPr>
                <w:rFonts w:cs="Arial" w:ascii="Arial" w:hAnsi="Arial"/>
                <w:bCs/>
                <w:sz w:val="24"/>
                <w:szCs w:val="24"/>
              </w:rPr>
              <w:t>Frequência Modulada</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eastAsia="SimSun" w:cs="Arial" w:ascii="Arial" w:hAnsi="Arial"/>
                <w:sz w:val="24"/>
                <w:szCs w:val="24"/>
                <w:lang w:bidi="hi-IN"/>
              </w:rPr>
              <w:t>GERSA</w:t>
            </w:r>
          </w:p>
        </w:tc>
        <w:tc>
          <w:tcPr>
            <w:tcW w:w="6776" w:type="dxa"/>
            <w:tcBorders/>
            <w:shd w:color="auto" w:fill="auto" w:val="clear"/>
          </w:tcPr>
          <w:p>
            <w:pPr>
              <w:pStyle w:val="Normal"/>
              <w:spacing w:lineRule="auto" w:line="360"/>
              <w:rPr/>
            </w:pPr>
            <w:r>
              <w:rPr>
                <w:rFonts w:cs="Arial" w:ascii="Arial" w:hAnsi="Arial"/>
                <w:bCs/>
                <w:sz w:val="24"/>
                <w:szCs w:val="24"/>
              </w:rPr>
              <w:t>Gerência da Regional de Saúde</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eastAsia="SimSun" w:cs="Arial" w:ascii="Arial" w:hAnsi="Arial"/>
                <w:sz w:val="24"/>
                <w:szCs w:val="24"/>
                <w:lang w:bidi="hi-IN"/>
              </w:rPr>
              <w:t>GM</w:t>
            </w:r>
          </w:p>
        </w:tc>
        <w:tc>
          <w:tcPr>
            <w:tcW w:w="6776" w:type="dxa"/>
            <w:tcBorders/>
            <w:shd w:color="auto" w:fill="auto" w:val="clear"/>
          </w:tcPr>
          <w:p>
            <w:pPr>
              <w:pStyle w:val="Normal"/>
              <w:spacing w:lineRule="auto" w:line="360"/>
              <w:rPr/>
            </w:pPr>
            <w:r>
              <w:rPr>
                <w:rFonts w:cs="Arial" w:ascii="Arial" w:hAnsi="Arial"/>
                <w:bCs/>
                <w:sz w:val="24"/>
                <w:szCs w:val="24"/>
              </w:rPr>
              <w:t>Gabinete do Ministro</w:t>
            </w:r>
          </w:p>
        </w:tc>
      </w:tr>
      <w:tr>
        <w:trPr/>
        <w:tc>
          <w:tcPr>
            <w:tcW w:w="1676" w:type="dxa"/>
            <w:tcBorders/>
            <w:shd w:color="auto" w:fill="auto" w:val="clear"/>
          </w:tcPr>
          <w:p>
            <w:pPr>
              <w:pStyle w:val="Normal"/>
              <w:spacing w:lineRule="auto" w:line="360"/>
              <w:jc w:val="both"/>
              <w:rPr>
                <w:rFonts w:ascii="Arial" w:hAnsi="Arial" w:eastAsia="SimSun" w:cs="Arial"/>
                <w:bCs/>
                <w:sz w:val="24"/>
                <w:szCs w:val="24"/>
                <w:lang w:bidi="hi-IN"/>
              </w:rPr>
            </w:pPr>
            <w:r>
              <w:rPr>
                <w:rFonts w:eastAsia="SimSun" w:cs="Arial" w:ascii="Arial" w:hAnsi="Arial"/>
                <w:sz w:val="24"/>
                <w:szCs w:val="24"/>
                <w:lang w:bidi="hi-IN"/>
              </w:rPr>
              <w:t>Hz</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Hertz</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cs="Arial" w:ascii="Arial" w:hAnsi="Arial"/>
                <w:sz w:val="24"/>
                <w:szCs w:val="24"/>
              </w:rPr>
              <w:t>IC</w:t>
            </w:r>
          </w:p>
        </w:tc>
        <w:tc>
          <w:tcPr>
            <w:tcW w:w="6776" w:type="dxa"/>
            <w:tcBorders/>
            <w:shd w:color="auto" w:fill="auto" w:val="clear"/>
          </w:tcPr>
          <w:p>
            <w:pPr>
              <w:pStyle w:val="Normal"/>
              <w:spacing w:lineRule="auto" w:line="360"/>
              <w:jc w:val="both"/>
              <w:rPr/>
            </w:pPr>
            <w:r>
              <w:rPr>
                <w:rFonts w:cs="Arial" w:ascii="Arial" w:hAnsi="Arial"/>
                <w:bCs/>
                <w:sz w:val="24"/>
                <w:szCs w:val="24"/>
              </w:rPr>
              <w:t>Implante Coclear</w:t>
            </w:r>
          </w:p>
        </w:tc>
      </w:tr>
      <w:tr>
        <w:trPr/>
        <w:tc>
          <w:tcPr>
            <w:tcW w:w="1676" w:type="dxa"/>
            <w:tcBorders/>
            <w:shd w:color="auto" w:fill="auto" w:val="clear"/>
          </w:tcPr>
          <w:p>
            <w:pPr>
              <w:pStyle w:val="Normal"/>
              <w:spacing w:lineRule="auto" w:line="360"/>
              <w:rPr>
                <w:rFonts w:ascii="Arial" w:hAnsi="Arial" w:cs="Arial"/>
                <w:bCs/>
                <w:sz w:val="24"/>
                <w:szCs w:val="24"/>
              </w:rPr>
            </w:pPr>
            <w:r>
              <w:rPr>
                <w:rFonts w:cs="Arial" w:ascii="Arial" w:hAnsi="Arial"/>
                <w:bCs/>
                <w:sz w:val="24"/>
                <w:szCs w:val="24"/>
              </w:rPr>
              <w:t>IRF</w:t>
            </w:r>
          </w:p>
        </w:tc>
        <w:tc>
          <w:tcPr>
            <w:tcW w:w="6776" w:type="dxa"/>
            <w:tcBorders/>
            <w:shd w:color="auto" w:fill="auto" w:val="clear"/>
          </w:tcPr>
          <w:p>
            <w:pPr>
              <w:pStyle w:val="Normal"/>
              <w:spacing w:lineRule="auto" w:line="360"/>
              <w:rPr/>
            </w:pPr>
            <w:r>
              <w:rPr>
                <w:rFonts w:cs="Arial" w:ascii="Arial" w:hAnsi="Arial"/>
                <w:bCs/>
                <w:sz w:val="24"/>
                <w:szCs w:val="24"/>
              </w:rPr>
              <w:t>Índice de Reconhecimento de Fala</w:t>
            </w:r>
          </w:p>
        </w:tc>
      </w:tr>
      <w:tr>
        <w:trPr/>
        <w:tc>
          <w:tcPr>
            <w:tcW w:w="1676" w:type="dxa"/>
            <w:tcBorders/>
            <w:shd w:color="auto" w:fill="auto" w:val="clear"/>
          </w:tcPr>
          <w:p>
            <w:pPr>
              <w:pStyle w:val="Normal"/>
              <w:spacing w:lineRule="auto" w:line="360"/>
              <w:jc w:val="both"/>
              <w:rPr>
                <w:rFonts w:ascii="Arial" w:hAnsi="Arial" w:eastAsia="SimSun" w:cs="Arial"/>
                <w:bCs/>
                <w:sz w:val="24"/>
                <w:szCs w:val="24"/>
                <w:lang w:bidi="hi-IN"/>
              </w:rPr>
            </w:pPr>
            <w:r>
              <w:rPr>
                <w:rFonts w:eastAsia="SimSun" w:cs="Arial" w:ascii="Arial" w:hAnsi="Arial"/>
                <w:sz w:val="24"/>
                <w:szCs w:val="24"/>
                <w:lang w:bidi="hi-IN"/>
              </w:rPr>
              <w:t>INAMPS</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Instituto Nacional de Assistência Médica da Previdência Social</w:t>
            </w:r>
          </w:p>
        </w:tc>
      </w:tr>
      <w:tr>
        <w:trPr/>
        <w:tc>
          <w:tcPr>
            <w:tcW w:w="1676" w:type="dxa"/>
            <w:tcBorders/>
            <w:shd w:color="auto" w:fill="auto" w:val="clear"/>
          </w:tcPr>
          <w:p>
            <w:pPr>
              <w:pStyle w:val="Normal"/>
              <w:spacing w:lineRule="auto" w:line="360"/>
              <w:rPr>
                <w:rFonts w:ascii="Arial" w:hAnsi="Arial" w:cs="Arial"/>
                <w:bCs/>
                <w:sz w:val="24"/>
                <w:szCs w:val="24"/>
              </w:rPr>
            </w:pPr>
            <w:r>
              <w:rPr>
                <w:rFonts w:cs="Arial" w:ascii="Arial" w:hAnsi="Arial"/>
                <w:bCs/>
                <w:sz w:val="24"/>
                <w:szCs w:val="24"/>
              </w:rPr>
              <w:t>LDV</w:t>
            </w:r>
          </w:p>
        </w:tc>
        <w:tc>
          <w:tcPr>
            <w:tcW w:w="6776" w:type="dxa"/>
            <w:tcBorders/>
            <w:shd w:color="auto" w:fill="auto" w:val="clear"/>
          </w:tcPr>
          <w:p>
            <w:pPr>
              <w:pStyle w:val="Normal"/>
              <w:spacing w:lineRule="auto" w:line="360"/>
              <w:rPr/>
            </w:pPr>
            <w:r>
              <w:rPr>
                <w:rFonts w:cs="Arial" w:ascii="Arial" w:hAnsi="Arial"/>
                <w:bCs/>
                <w:sz w:val="24"/>
                <w:szCs w:val="24"/>
              </w:rPr>
              <w:t xml:space="preserve">Limiar de Detecção de Voz </w:t>
            </w:r>
          </w:p>
        </w:tc>
      </w:tr>
      <w:tr>
        <w:trPr/>
        <w:tc>
          <w:tcPr>
            <w:tcW w:w="1676" w:type="dxa"/>
            <w:tcBorders/>
            <w:shd w:color="auto" w:fill="auto" w:val="clear"/>
          </w:tcPr>
          <w:p>
            <w:pPr>
              <w:pStyle w:val="Normal"/>
              <w:spacing w:lineRule="auto" w:line="360"/>
              <w:rPr>
                <w:rFonts w:ascii="Arial" w:hAnsi="Arial" w:cs="Arial"/>
                <w:bCs/>
                <w:sz w:val="24"/>
                <w:szCs w:val="24"/>
              </w:rPr>
            </w:pPr>
            <w:r>
              <w:rPr>
                <w:rFonts w:cs="Arial" w:ascii="Arial" w:hAnsi="Arial"/>
                <w:bCs/>
                <w:sz w:val="24"/>
                <w:szCs w:val="24"/>
              </w:rPr>
              <w:t>LRF</w:t>
            </w:r>
          </w:p>
        </w:tc>
        <w:tc>
          <w:tcPr>
            <w:tcW w:w="6776" w:type="dxa"/>
            <w:tcBorders/>
            <w:shd w:color="auto" w:fill="auto" w:val="clear"/>
          </w:tcPr>
          <w:p>
            <w:pPr>
              <w:pStyle w:val="Normal"/>
              <w:spacing w:lineRule="auto" w:line="360"/>
              <w:rPr/>
            </w:pPr>
            <w:r>
              <w:rPr>
                <w:rFonts w:cs="Arial" w:ascii="Arial" w:hAnsi="Arial"/>
                <w:bCs/>
                <w:sz w:val="24"/>
                <w:szCs w:val="24"/>
              </w:rPr>
              <w:t>Limiar de Reconhecimento de Fala</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eastAsia="SimSun" w:cs="Arial" w:ascii="Arial" w:hAnsi="Arial"/>
                <w:sz w:val="24"/>
                <w:szCs w:val="24"/>
                <w:lang w:bidi="hi-IN"/>
              </w:rPr>
              <w:t>MPAS</w:t>
            </w:r>
          </w:p>
        </w:tc>
        <w:tc>
          <w:tcPr>
            <w:tcW w:w="6776" w:type="dxa"/>
            <w:tcBorders/>
            <w:shd w:color="auto" w:fill="auto" w:val="clear"/>
          </w:tcPr>
          <w:p>
            <w:pPr>
              <w:pStyle w:val="Normal"/>
              <w:spacing w:lineRule="auto" w:line="360"/>
              <w:rPr/>
            </w:pPr>
            <w:r>
              <w:rPr>
                <w:rFonts w:cs="Arial" w:ascii="Arial" w:hAnsi="Arial"/>
                <w:bCs/>
                <w:sz w:val="24"/>
                <w:szCs w:val="24"/>
              </w:rPr>
              <w:t>Ministério da Previdência Social</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eastAsia="SimSun" w:cs="Arial" w:ascii="Arial" w:hAnsi="Arial"/>
                <w:sz w:val="24"/>
                <w:szCs w:val="24"/>
                <w:lang w:bidi="hi-IN"/>
              </w:rPr>
              <w:t>MS</w:t>
            </w:r>
          </w:p>
        </w:tc>
        <w:tc>
          <w:tcPr>
            <w:tcW w:w="6776" w:type="dxa"/>
            <w:tcBorders/>
            <w:shd w:color="auto" w:fill="auto" w:val="clear"/>
          </w:tcPr>
          <w:p>
            <w:pPr>
              <w:pStyle w:val="Normal"/>
              <w:spacing w:lineRule="auto" w:line="360"/>
              <w:rPr/>
            </w:pPr>
            <w:r>
              <w:rPr>
                <w:rFonts w:cs="Arial" w:ascii="Arial" w:hAnsi="Arial"/>
                <w:bCs/>
                <w:sz w:val="24"/>
                <w:szCs w:val="24"/>
              </w:rPr>
              <w:t>Ministério da Saúde</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cs="Arial" w:ascii="Arial" w:hAnsi="Arial"/>
                <w:sz w:val="24"/>
                <w:szCs w:val="24"/>
              </w:rPr>
              <w:t>NBR</w:t>
            </w:r>
          </w:p>
        </w:tc>
        <w:tc>
          <w:tcPr>
            <w:tcW w:w="6776" w:type="dxa"/>
            <w:tcBorders/>
            <w:shd w:color="auto" w:fill="auto" w:val="clear"/>
          </w:tcPr>
          <w:p>
            <w:pPr>
              <w:pStyle w:val="Normal"/>
              <w:spacing w:lineRule="auto" w:line="360"/>
              <w:rPr/>
            </w:pPr>
            <w:r>
              <w:rPr>
                <w:rFonts w:cs="Arial" w:ascii="Arial" w:hAnsi="Arial"/>
                <w:bCs/>
                <w:sz w:val="24"/>
                <w:szCs w:val="24"/>
              </w:rPr>
              <w:t>Norma Brasileira</w:t>
            </w:r>
          </w:p>
        </w:tc>
      </w:tr>
      <w:tr>
        <w:trPr/>
        <w:tc>
          <w:tcPr>
            <w:tcW w:w="1676" w:type="dxa"/>
            <w:tcBorders/>
            <w:shd w:color="auto" w:fill="auto" w:val="clear"/>
          </w:tcPr>
          <w:p>
            <w:pPr>
              <w:pStyle w:val="Normal"/>
              <w:spacing w:lineRule="auto" w:line="360"/>
              <w:jc w:val="both"/>
              <w:rPr>
                <w:rFonts w:ascii="Arial" w:hAnsi="Arial" w:eastAsia="SimSun" w:cs="Arial"/>
                <w:bCs/>
                <w:sz w:val="24"/>
                <w:szCs w:val="24"/>
                <w:lang w:bidi="hi-IN"/>
              </w:rPr>
            </w:pPr>
            <w:r>
              <w:rPr>
                <w:rFonts w:eastAsia="SimSun" w:cs="Arial" w:ascii="Arial" w:hAnsi="Arial"/>
                <w:sz w:val="24"/>
                <w:szCs w:val="24"/>
                <w:lang w:bidi="hi-IN"/>
              </w:rPr>
              <w:t>OMS</w:t>
            </w:r>
          </w:p>
        </w:tc>
        <w:tc>
          <w:tcPr>
            <w:tcW w:w="6776" w:type="dxa"/>
            <w:tcBorders/>
            <w:shd w:color="auto" w:fill="auto" w:val="clear"/>
          </w:tcPr>
          <w:p>
            <w:pPr>
              <w:pStyle w:val="Normal"/>
              <w:spacing w:lineRule="auto" w:line="360"/>
              <w:rPr/>
            </w:pPr>
            <w:r>
              <w:rPr>
                <w:rFonts w:eastAsia="SimSun" w:cs="Arial" w:ascii="Arial" w:hAnsi="Arial"/>
                <w:bCs/>
                <w:sz w:val="24"/>
                <w:szCs w:val="24"/>
                <w:lang w:bidi="hi-IN"/>
              </w:rPr>
              <w:t>Organização Mundial de Saúde</w:t>
            </w:r>
          </w:p>
        </w:tc>
      </w:tr>
      <w:tr>
        <w:trPr/>
        <w:tc>
          <w:tcPr>
            <w:tcW w:w="1676" w:type="dxa"/>
            <w:tcBorders/>
            <w:shd w:color="auto" w:fill="auto" w:val="clear"/>
          </w:tcPr>
          <w:p>
            <w:pPr>
              <w:pStyle w:val="Normal"/>
              <w:rPr>
                <w:rFonts w:ascii="Arial" w:hAnsi="Arial" w:cs="Arial"/>
                <w:bCs/>
                <w:sz w:val="24"/>
                <w:szCs w:val="24"/>
              </w:rPr>
            </w:pPr>
            <w:bookmarkStart w:id="2" w:name="__RefHeading__2719_41855624"/>
            <w:bookmarkStart w:id="3" w:name="_Toc434169506"/>
            <w:bookmarkStart w:id="4" w:name="_Toc434148329"/>
            <w:bookmarkEnd w:id="2"/>
            <w:bookmarkEnd w:id="3"/>
            <w:bookmarkEnd w:id="4"/>
            <w:r>
              <w:rPr>
                <w:rFonts w:eastAsia="SimSun" w:cs="Arial" w:ascii="Arial" w:hAnsi="Arial"/>
                <w:sz w:val="24"/>
                <w:szCs w:val="24"/>
                <w:lang w:bidi="hi-IN"/>
              </w:rPr>
              <w:t>OPM</w:t>
            </w:r>
          </w:p>
        </w:tc>
        <w:tc>
          <w:tcPr>
            <w:tcW w:w="6776" w:type="dxa"/>
            <w:tcBorders/>
            <w:shd w:color="auto" w:fill="auto" w:val="clear"/>
          </w:tcPr>
          <w:p>
            <w:pPr>
              <w:pStyle w:val="Normal"/>
              <w:numPr>
                <w:ilvl w:val="0"/>
                <w:numId w:val="6"/>
              </w:numPr>
              <w:spacing w:lineRule="auto" w:line="360"/>
              <w:jc w:val="both"/>
              <w:rPr>
                <w:rFonts w:ascii="Arial" w:hAnsi="Arial" w:eastAsia="SimSun" w:cs="Arial"/>
                <w:bCs/>
                <w:sz w:val="24"/>
                <w:szCs w:val="24"/>
                <w:lang w:bidi="hi-IN"/>
              </w:rPr>
            </w:pPr>
            <w:r>
              <w:rPr>
                <w:rFonts w:eastAsia="SimSun" w:cs="Arial" w:ascii="Arial" w:hAnsi="Arial"/>
                <w:bCs/>
                <w:sz w:val="24"/>
                <w:szCs w:val="24"/>
                <w:lang w:bidi="hi-IN"/>
              </w:rPr>
              <w:t>Órteses, Próteses e Meios auxiliares de locomoção</w:t>
            </w:r>
          </w:p>
        </w:tc>
      </w:tr>
      <w:tr>
        <w:trPr/>
        <w:tc>
          <w:tcPr>
            <w:tcW w:w="1676" w:type="dxa"/>
            <w:tcBorders/>
            <w:shd w:color="auto" w:fill="auto" w:val="clear"/>
          </w:tcPr>
          <w:p>
            <w:pPr>
              <w:pStyle w:val="Normal"/>
              <w:numPr>
                <w:ilvl w:val="0"/>
                <w:numId w:val="6"/>
              </w:numPr>
              <w:spacing w:lineRule="auto" w:line="360"/>
              <w:jc w:val="both"/>
              <w:rPr>
                <w:rFonts w:ascii="Arial" w:hAnsi="Arial" w:eastAsia="SimSun" w:cs="Arial"/>
                <w:bCs/>
                <w:sz w:val="24"/>
                <w:szCs w:val="24"/>
                <w:lang w:bidi="hi-IN"/>
              </w:rPr>
            </w:pPr>
            <w:r>
              <w:rPr>
                <w:rFonts w:eastAsia="SimSun" w:cs="Arial" w:ascii="Arial" w:hAnsi="Arial"/>
                <w:bCs/>
                <w:sz w:val="24"/>
                <w:szCs w:val="24"/>
                <w:lang w:bidi="hi-IN"/>
              </w:rPr>
              <w:t>PDR</w:t>
            </w:r>
          </w:p>
        </w:tc>
        <w:tc>
          <w:tcPr>
            <w:tcW w:w="6776" w:type="dxa"/>
            <w:tcBorders/>
            <w:shd w:color="auto" w:fill="auto" w:val="clear"/>
          </w:tcPr>
          <w:p>
            <w:pPr>
              <w:pStyle w:val="Normal"/>
              <w:numPr>
                <w:ilvl w:val="0"/>
                <w:numId w:val="6"/>
              </w:numPr>
              <w:spacing w:lineRule="auto" w:line="360"/>
              <w:jc w:val="both"/>
              <w:rPr>
                <w:rFonts w:ascii="Arial" w:hAnsi="Arial" w:eastAsia="SimSun" w:cs="Arial"/>
                <w:bCs/>
                <w:sz w:val="24"/>
                <w:szCs w:val="24"/>
                <w:lang w:bidi="hi-IN"/>
              </w:rPr>
            </w:pPr>
            <w:r>
              <w:rPr>
                <w:rFonts w:eastAsia="SimSun" w:cs="Arial" w:ascii="Arial" w:hAnsi="Arial"/>
                <w:bCs/>
                <w:sz w:val="24"/>
                <w:szCs w:val="24"/>
                <w:lang w:bidi="hi-IN"/>
              </w:rPr>
              <w:t>Plano de Desenvolvimento Regional</w:t>
            </w:r>
          </w:p>
        </w:tc>
      </w:tr>
      <w:tr>
        <w:trPr/>
        <w:tc>
          <w:tcPr>
            <w:tcW w:w="1676" w:type="dxa"/>
            <w:tcBorders/>
            <w:shd w:color="auto" w:fill="auto" w:val="clear"/>
          </w:tcPr>
          <w:p>
            <w:pPr>
              <w:pStyle w:val="Normal"/>
              <w:numPr>
                <w:ilvl w:val="0"/>
                <w:numId w:val="6"/>
              </w:numPr>
              <w:spacing w:lineRule="auto" w:line="360"/>
              <w:jc w:val="both"/>
              <w:rPr>
                <w:rFonts w:ascii="Arial" w:hAnsi="Arial" w:eastAsia="SimSun" w:cs="Arial"/>
                <w:bCs/>
                <w:sz w:val="24"/>
                <w:szCs w:val="24"/>
                <w:lang w:bidi="hi-IN"/>
              </w:rPr>
            </w:pPr>
            <w:r>
              <w:rPr>
                <w:rFonts w:eastAsia="SimSun" w:cs="Arial" w:ascii="Arial" w:hAnsi="Arial"/>
                <w:bCs/>
                <w:sz w:val="24"/>
                <w:szCs w:val="24"/>
                <w:lang w:bidi="hi-IN"/>
              </w:rPr>
              <w:t>PEATE-A</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Potenciais Evocados Auditivos de Tronco Encefálico-Automático</w:t>
            </w:r>
          </w:p>
        </w:tc>
      </w:tr>
      <w:tr>
        <w:trPr/>
        <w:tc>
          <w:tcPr>
            <w:tcW w:w="1676" w:type="dxa"/>
            <w:tcBorders/>
            <w:shd w:color="auto" w:fill="auto" w:val="clear"/>
          </w:tcPr>
          <w:p>
            <w:pPr>
              <w:pStyle w:val="Normal"/>
              <w:spacing w:lineRule="auto" w:line="360"/>
              <w:jc w:val="both"/>
              <w:rPr>
                <w:rFonts w:ascii="Arial" w:hAnsi="Arial" w:eastAsia="SimSun" w:cs="Arial"/>
                <w:bCs/>
                <w:sz w:val="24"/>
                <w:szCs w:val="24"/>
                <w:lang w:bidi="hi-IN"/>
              </w:rPr>
            </w:pPr>
            <w:r>
              <w:rPr>
                <w:rFonts w:cs="Arial" w:ascii="Arial" w:hAnsi="Arial"/>
                <w:sz w:val="24"/>
                <w:szCs w:val="24"/>
              </w:rPr>
              <w:t>PEATE</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 xml:space="preserve">Potenciais Evocados Auditivos de Tronco Encefálico </w:t>
            </w:r>
          </w:p>
        </w:tc>
      </w:tr>
      <w:tr>
        <w:trPr/>
        <w:tc>
          <w:tcPr>
            <w:tcW w:w="1676" w:type="dxa"/>
            <w:tcBorders/>
            <w:shd w:color="auto" w:fill="auto" w:val="clear"/>
          </w:tcPr>
          <w:p>
            <w:pPr>
              <w:pStyle w:val="Normal"/>
              <w:spacing w:lineRule="auto" w:line="360"/>
              <w:jc w:val="both"/>
              <w:rPr>
                <w:rFonts w:ascii="Arial" w:hAnsi="Arial" w:eastAsia="SimSun" w:cs="Arial"/>
                <w:bCs/>
                <w:sz w:val="24"/>
                <w:szCs w:val="24"/>
                <w:lang w:bidi="hi-IN"/>
              </w:rPr>
            </w:pPr>
            <w:r>
              <w:rPr>
                <w:rFonts w:cs="Arial" w:ascii="Arial" w:hAnsi="Arial"/>
                <w:sz w:val="24"/>
                <w:szCs w:val="24"/>
              </w:rPr>
              <w:t>PIG</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Pequeno para a Idade Gestacional</w:t>
            </w:r>
          </w:p>
        </w:tc>
      </w:tr>
      <w:tr>
        <w:trPr/>
        <w:tc>
          <w:tcPr>
            <w:tcW w:w="1676" w:type="dxa"/>
            <w:tcBorders/>
            <w:shd w:color="auto" w:fill="auto" w:val="clear"/>
          </w:tcPr>
          <w:p>
            <w:pPr>
              <w:pStyle w:val="Normal"/>
              <w:keepLines/>
              <w:spacing w:lineRule="auto" w:line="360"/>
              <w:jc w:val="both"/>
              <w:rPr>
                <w:rFonts w:ascii="Arial" w:hAnsi="Arial" w:eastAsia="SimSun" w:cs="Arial"/>
                <w:bCs/>
                <w:i/>
                <w:i/>
                <w:iCs/>
                <w:sz w:val="24"/>
                <w:szCs w:val="24"/>
                <w:lang w:val="en-US" w:bidi="hi-IN"/>
              </w:rPr>
            </w:pPr>
            <w:r>
              <w:rPr>
                <w:rFonts w:eastAsia="SimSun" w:cs="Arial" w:ascii="Arial" w:hAnsi="Arial"/>
                <w:sz w:val="24"/>
                <w:szCs w:val="24"/>
                <w:lang w:bidi="hi-IN"/>
              </w:rPr>
              <w:t>RECD</w:t>
            </w:r>
          </w:p>
        </w:tc>
        <w:tc>
          <w:tcPr>
            <w:tcW w:w="6776" w:type="dxa"/>
            <w:tcBorders/>
            <w:shd w:color="auto" w:fill="auto" w:val="clear"/>
          </w:tcPr>
          <w:p>
            <w:pPr>
              <w:pStyle w:val="Normal"/>
              <w:spacing w:lineRule="auto" w:line="360"/>
              <w:jc w:val="both"/>
              <w:rPr/>
            </w:pPr>
            <w:r>
              <w:rPr>
                <w:rFonts w:eastAsia="SimSun" w:cs="Arial" w:ascii="Arial" w:hAnsi="Arial"/>
                <w:bCs/>
                <w:i/>
                <w:iCs/>
                <w:sz w:val="24"/>
                <w:szCs w:val="24"/>
                <w:lang w:val="en-US" w:bidi="hi-IN"/>
              </w:rPr>
              <w:t>Real Ear to Coupler Difference</w:t>
            </w:r>
          </w:p>
        </w:tc>
      </w:tr>
      <w:tr>
        <w:trPr/>
        <w:tc>
          <w:tcPr>
            <w:tcW w:w="1676" w:type="dxa"/>
            <w:tcBorders/>
            <w:shd w:color="auto" w:fill="auto" w:val="clear"/>
          </w:tcPr>
          <w:p>
            <w:pPr>
              <w:pStyle w:val="Normal"/>
              <w:keepLines/>
              <w:spacing w:lineRule="auto" w:line="360"/>
              <w:jc w:val="both"/>
              <w:rPr>
                <w:rFonts w:ascii="Arial" w:hAnsi="Arial" w:eastAsia="SimSun" w:cs="Arial"/>
                <w:bCs/>
                <w:sz w:val="24"/>
                <w:szCs w:val="24"/>
                <w:lang w:val="en-US" w:bidi="hi-IN"/>
              </w:rPr>
            </w:pPr>
            <w:r>
              <w:rPr>
                <w:rFonts w:eastAsia="SimSun" w:cs="Arial" w:ascii="Arial" w:hAnsi="Arial"/>
                <w:sz w:val="24"/>
                <w:szCs w:val="24"/>
                <w:lang w:bidi="hi-IN"/>
              </w:rPr>
              <w:t>RN</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val="en-US" w:bidi="hi-IN"/>
              </w:rPr>
              <w:t>Recém nascido</w:t>
            </w:r>
          </w:p>
        </w:tc>
      </w:tr>
      <w:tr>
        <w:trPr/>
        <w:tc>
          <w:tcPr>
            <w:tcW w:w="1676" w:type="dxa"/>
            <w:tcBorders/>
            <w:shd w:color="auto" w:fill="auto" w:val="clear"/>
          </w:tcPr>
          <w:p>
            <w:pPr>
              <w:pStyle w:val="Normal"/>
              <w:keepLines/>
              <w:spacing w:lineRule="auto" w:line="360"/>
              <w:jc w:val="both"/>
              <w:rPr>
                <w:rFonts w:ascii="Arial" w:hAnsi="Arial" w:eastAsia="SimSun" w:cs="Arial"/>
                <w:bCs/>
                <w:sz w:val="24"/>
                <w:szCs w:val="24"/>
                <w:lang w:bidi="hi-IN"/>
              </w:rPr>
            </w:pPr>
            <w:r>
              <w:rPr>
                <w:rFonts w:eastAsia="SimSun" w:cs="Arial" w:ascii="Arial" w:hAnsi="Arial"/>
                <w:bCs/>
                <w:sz w:val="24"/>
                <w:szCs w:val="24"/>
                <w:lang w:bidi="hi-IN"/>
              </w:rPr>
              <w:t>SASA</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Serviço Ambulatorial de Saúde Auditiva</w:t>
            </w:r>
          </w:p>
        </w:tc>
      </w:tr>
      <w:tr>
        <w:trPr/>
        <w:tc>
          <w:tcPr>
            <w:tcW w:w="1676" w:type="dxa"/>
            <w:tcBorders/>
            <w:shd w:color="auto" w:fill="auto" w:val="clear"/>
          </w:tcPr>
          <w:p>
            <w:pPr>
              <w:pStyle w:val="Normal"/>
              <w:keepLines/>
              <w:spacing w:lineRule="auto" w:line="360"/>
              <w:jc w:val="both"/>
              <w:rPr>
                <w:rFonts w:ascii="Arial" w:hAnsi="Arial" w:eastAsia="SimSun" w:cs="Arial"/>
                <w:bCs/>
                <w:sz w:val="24"/>
                <w:szCs w:val="24"/>
                <w:lang w:bidi="hi-IN"/>
              </w:rPr>
            </w:pPr>
            <w:r>
              <w:rPr>
                <w:rFonts w:eastAsia="SimSun" w:cs="Arial" w:ascii="Arial" w:hAnsi="Arial"/>
                <w:bCs/>
                <w:sz w:val="24"/>
                <w:szCs w:val="24"/>
                <w:lang w:bidi="hi-IN"/>
              </w:rPr>
              <w:t>SHSA</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Serviço Hospitalar de Saúde Auditiva</w:t>
            </w:r>
          </w:p>
        </w:tc>
      </w:tr>
      <w:tr>
        <w:trPr/>
        <w:tc>
          <w:tcPr>
            <w:tcW w:w="1676" w:type="dxa"/>
            <w:tcBorders/>
            <w:shd w:color="auto" w:fill="auto" w:val="clear"/>
          </w:tcPr>
          <w:p>
            <w:pPr>
              <w:pStyle w:val="Normal"/>
              <w:spacing w:lineRule="auto" w:line="360"/>
              <w:rPr>
                <w:rFonts w:ascii="Arial" w:hAnsi="Arial" w:eastAsia="SimSun" w:cs="Arial"/>
                <w:bCs/>
                <w:sz w:val="24"/>
                <w:szCs w:val="24"/>
                <w:lang w:bidi="hi-IN"/>
              </w:rPr>
            </w:pPr>
            <w:r>
              <w:rPr>
                <w:rFonts w:eastAsia="SimSun" w:cs="Arial" w:ascii="Arial" w:hAnsi="Arial"/>
                <w:sz w:val="24"/>
                <w:szCs w:val="24"/>
                <w:lang w:bidi="hi-IN"/>
              </w:rPr>
              <w:t>SAS</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Secretaria de Assistência Social</w:t>
            </w:r>
          </w:p>
        </w:tc>
      </w:tr>
      <w:tr>
        <w:trPr/>
        <w:tc>
          <w:tcPr>
            <w:tcW w:w="1676" w:type="dxa"/>
            <w:tcBorders/>
            <w:shd w:color="auto" w:fill="auto" w:val="clear"/>
          </w:tcPr>
          <w:p>
            <w:pPr>
              <w:pStyle w:val="Normal"/>
              <w:spacing w:lineRule="auto" w:line="360"/>
              <w:jc w:val="both"/>
              <w:rPr>
                <w:rFonts w:ascii="Arial" w:hAnsi="Arial" w:eastAsia="SimSun" w:cs="Arial"/>
                <w:bCs/>
                <w:sz w:val="24"/>
                <w:szCs w:val="24"/>
                <w:lang w:bidi="hi-IN"/>
              </w:rPr>
            </w:pPr>
            <w:r>
              <w:rPr>
                <w:rFonts w:eastAsia="SimSun" w:cs="Arial" w:ascii="Arial" w:hAnsi="Arial"/>
                <w:sz w:val="24"/>
                <w:szCs w:val="24"/>
                <w:lang w:bidi="hi-IN"/>
              </w:rPr>
              <w:t>SC</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Santa Catarina</w:t>
            </w:r>
          </w:p>
        </w:tc>
      </w:tr>
      <w:tr>
        <w:trPr/>
        <w:tc>
          <w:tcPr>
            <w:tcW w:w="1676" w:type="dxa"/>
            <w:tcBorders/>
            <w:shd w:color="auto" w:fill="auto" w:val="clear"/>
          </w:tcPr>
          <w:p>
            <w:pPr>
              <w:pStyle w:val="Normal"/>
              <w:spacing w:lineRule="auto" w:line="360"/>
              <w:jc w:val="both"/>
              <w:rPr>
                <w:rFonts w:ascii="Arial" w:hAnsi="Arial" w:eastAsia="SimSun" w:cs="Arial"/>
                <w:bCs/>
                <w:sz w:val="24"/>
                <w:szCs w:val="24"/>
                <w:lang w:bidi="hi-IN"/>
              </w:rPr>
            </w:pPr>
            <w:r>
              <w:rPr>
                <w:rFonts w:eastAsia="SimSun" w:cs="Arial" w:ascii="Arial" w:hAnsi="Arial"/>
                <w:sz w:val="24"/>
                <w:szCs w:val="24"/>
                <w:lang w:bidi="hi-IN"/>
              </w:rPr>
              <w:t>SDR</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Secretaria de Desenvolvimento Regional</w:t>
            </w:r>
          </w:p>
        </w:tc>
      </w:tr>
      <w:tr>
        <w:trPr/>
        <w:tc>
          <w:tcPr>
            <w:tcW w:w="1676" w:type="dxa"/>
            <w:tcBorders/>
            <w:shd w:color="auto" w:fill="auto" w:val="clear"/>
          </w:tcPr>
          <w:p>
            <w:pPr>
              <w:pStyle w:val="Normal"/>
              <w:spacing w:lineRule="auto" w:line="360"/>
              <w:jc w:val="both"/>
              <w:rPr>
                <w:rFonts w:ascii="Arial" w:hAnsi="Arial" w:eastAsia="SimSun" w:cs="Arial"/>
                <w:bCs/>
                <w:sz w:val="24"/>
                <w:szCs w:val="24"/>
                <w:lang w:bidi="hi-IN"/>
              </w:rPr>
            </w:pPr>
            <w:r>
              <w:rPr>
                <w:rFonts w:eastAsia="SimSun" w:cs="Arial" w:ascii="Arial" w:hAnsi="Arial"/>
                <w:bCs/>
                <w:sz w:val="24"/>
                <w:szCs w:val="24"/>
                <w:lang w:bidi="hi-IN"/>
              </w:rPr>
              <w:t>SES</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Secretaria de Estado da Saúde</w:t>
            </w:r>
          </w:p>
        </w:tc>
      </w:tr>
      <w:tr>
        <w:trPr/>
        <w:tc>
          <w:tcPr>
            <w:tcW w:w="1676" w:type="dxa"/>
            <w:tcBorders/>
            <w:shd w:color="auto" w:fill="auto" w:val="clear"/>
          </w:tcPr>
          <w:p>
            <w:pPr>
              <w:pStyle w:val="Normal"/>
              <w:spacing w:lineRule="auto" w:line="360"/>
              <w:jc w:val="both"/>
              <w:rPr>
                <w:rFonts w:ascii="Arial" w:hAnsi="Arial" w:eastAsia="SimSun" w:cs="Arial"/>
                <w:sz w:val="24"/>
                <w:szCs w:val="24"/>
                <w:lang w:bidi="hi-IN"/>
              </w:rPr>
            </w:pPr>
            <w:r>
              <w:rPr>
                <w:rFonts w:eastAsia="SimSun" w:cs="Arial" w:ascii="Arial" w:hAnsi="Arial"/>
                <w:sz w:val="24"/>
                <w:szCs w:val="24"/>
                <w:lang w:bidi="hi-IN"/>
              </w:rPr>
              <w:t>SCTIE</w:t>
            </w:r>
          </w:p>
        </w:tc>
        <w:tc>
          <w:tcPr>
            <w:tcW w:w="6776" w:type="dxa"/>
            <w:tcBorders/>
            <w:shd w:color="auto" w:fill="auto" w:val="clear"/>
          </w:tcPr>
          <w:p>
            <w:pPr>
              <w:pStyle w:val="Normal"/>
              <w:spacing w:lineRule="auto" w:line="360"/>
              <w:jc w:val="both"/>
              <w:rPr/>
            </w:pPr>
            <w:r>
              <w:rPr>
                <w:rFonts w:eastAsia="SimSun" w:cs="Arial" w:ascii="Arial" w:hAnsi="Arial"/>
                <w:sz w:val="24"/>
                <w:szCs w:val="24"/>
                <w:lang w:bidi="hi-IN"/>
              </w:rPr>
              <w:t>Secretaria de Ciência, Tecnologia e Insumos Estratégicos</w:t>
            </w:r>
          </w:p>
        </w:tc>
      </w:tr>
      <w:tr>
        <w:trPr/>
        <w:tc>
          <w:tcPr>
            <w:tcW w:w="1676" w:type="dxa"/>
            <w:tcBorders/>
            <w:shd w:color="auto" w:fill="auto" w:val="clear"/>
          </w:tcPr>
          <w:p>
            <w:pPr>
              <w:pStyle w:val="Normal"/>
              <w:spacing w:lineRule="auto" w:line="360"/>
              <w:jc w:val="both"/>
              <w:rPr>
                <w:rFonts w:ascii="Arial" w:hAnsi="Arial" w:eastAsia="SimSun" w:cs="Arial"/>
                <w:bCs/>
                <w:sz w:val="24"/>
                <w:szCs w:val="24"/>
                <w:lang w:bidi="hi-IN"/>
              </w:rPr>
            </w:pPr>
            <w:r>
              <w:rPr>
                <w:rFonts w:eastAsia="SimSun" w:cs="Arial" w:ascii="Arial" w:hAnsi="Arial"/>
                <w:bCs/>
                <w:sz w:val="24"/>
                <w:szCs w:val="24"/>
                <w:lang w:bidi="hi-IN"/>
              </w:rPr>
              <w:t>SISREG</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Sistema de Regulação</w:t>
            </w:r>
          </w:p>
        </w:tc>
      </w:tr>
      <w:tr>
        <w:trPr/>
        <w:tc>
          <w:tcPr>
            <w:tcW w:w="1676" w:type="dxa"/>
            <w:tcBorders/>
            <w:shd w:color="auto" w:fill="auto" w:val="clear"/>
          </w:tcPr>
          <w:p>
            <w:pPr>
              <w:pStyle w:val="Corpodetexto"/>
              <w:widowControl/>
              <w:spacing w:lineRule="auto" w:line="360" w:before="0" w:after="0"/>
              <w:jc w:val="both"/>
              <w:rPr>
                <w:rFonts w:ascii="Arial" w:hAnsi="Arial" w:eastAsia="SimSun" w:cs="Arial"/>
                <w:bCs/>
                <w:sz w:val="24"/>
                <w:szCs w:val="24"/>
                <w:lang w:bidi="hi-IN"/>
              </w:rPr>
            </w:pPr>
            <w:r>
              <w:rPr>
                <w:rFonts w:eastAsia="SimSun" w:cs="Arial" w:ascii="Arial" w:hAnsi="Arial"/>
                <w:bCs/>
                <w:sz w:val="24"/>
                <w:szCs w:val="24"/>
                <w:lang w:bidi="hi-IN"/>
              </w:rPr>
              <w:t>SMS</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Secretaria Municipal de Saúde</w:t>
            </w:r>
          </w:p>
        </w:tc>
      </w:tr>
      <w:tr>
        <w:trPr/>
        <w:tc>
          <w:tcPr>
            <w:tcW w:w="1676" w:type="dxa"/>
            <w:tcBorders/>
            <w:shd w:color="auto" w:fill="auto" w:val="clear"/>
          </w:tcPr>
          <w:p>
            <w:pPr>
              <w:pStyle w:val="Normal"/>
              <w:spacing w:lineRule="auto" w:line="360"/>
              <w:rPr>
                <w:rFonts w:ascii="Arial" w:hAnsi="Arial" w:eastAsia="SimSun" w:cs="Arial"/>
                <w:bCs/>
                <w:sz w:val="24"/>
                <w:szCs w:val="24"/>
                <w:lang w:bidi="hi-IN"/>
              </w:rPr>
            </w:pPr>
            <w:r>
              <w:rPr>
                <w:rFonts w:eastAsia="SimSun" w:cs="Arial" w:ascii="Arial" w:hAnsi="Arial"/>
                <w:sz w:val="24"/>
                <w:szCs w:val="24"/>
                <w:lang w:bidi="hi-IN"/>
              </w:rPr>
              <w:t>SUR</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Superintendência de Serviços Especializados e Regulação</w:t>
            </w:r>
          </w:p>
        </w:tc>
      </w:tr>
      <w:tr>
        <w:trPr/>
        <w:tc>
          <w:tcPr>
            <w:tcW w:w="1676" w:type="dxa"/>
            <w:tcBorders/>
            <w:shd w:color="auto" w:fill="auto" w:val="clear"/>
          </w:tcPr>
          <w:p>
            <w:pPr>
              <w:pStyle w:val="Normal"/>
              <w:spacing w:lineRule="auto" w:line="360"/>
              <w:rPr>
                <w:rFonts w:ascii="Arial" w:hAnsi="Arial" w:eastAsia="SimSun" w:cs="Arial"/>
                <w:bCs/>
                <w:sz w:val="24"/>
                <w:szCs w:val="24"/>
                <w:lang w:bidi="hi-IN"/>
              </w:rPr>
            </w:pPr>
            <w:r>
              <w:rPr>
                <w:rFonts w:eastAsia="SimSun" w:cs="Arial" w:ascii="Arial" w:hAnsi="Arial"/>
                <w:sz w:val="24"/>
                <w:szCs w:val="24"/>
                <w:lang w:bidi="hi-IN"/>
              </w:rPr>
              <w:t>SUS</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Sistema Único de Saúde</w:t>
            </w:r>
          </w:p>
        </w:tc>
      </w:tr>
      <w:tr>
        <w:trPr/>
        <w:tc>
          <w:tcPr>
            <w:tcW w:w="1676" w:type="dxa"/>
            <w:tcBorders/>
            <w:shd w:color="auto" w:fill="auto" w:val="clear"/>
          </w:tcPr>
          <w:p>
            <w:pPr>
              <w:pStyle w:val="Normal"/>
              <w:spacing w:lineRule="auto" w:line="360"/>
              <w:jc w:val="both"/>
              <w:rPr>
                <w:rFonts w:ascii="Arial" w:hAnsi="Arial" w:eastAsia="SimSun" w:cs="Arial"/>
                <w:bCs/>
                <w:sz w:val="24"/>
                <w:szCs w:val="24"/>
                <w:lang w:bidi="hi-IN"/>
              </w:rPr>
            </w:pPr>
            <w:r>
              <w:rPr>
                <w:rFonts w:eastAsia="SimSun" w:cs="Arial" w:ascii="Arial" w:hAnsi="Arial"/>
                <w:sz w:val="24"/>
                <w:szCs w:val="24"/>
                <w:lang w:bidi="hi-IN"/>
              </w:rPr>
              <w:t>TAN</w:t>
            </w:r>
          </w:p>
        </w:tc>
        <w:tc>
          <w:tcPr>
            <w:tcW w:w="6776" w:type="dxa"/>
            <w:tcBorders/>
            <w:shd w:color="auto" w:fill="auto" w:val="clear"/>
          </w:tcPr>
          <w:p>
            <w:pPr>
              <w:pStyle w:val="Normal"/>
              <w:spacing w:lineRule="auto" w:line="360"/>
              <w:rPr/>
            </w:pPr>
            <w:r>
              <w:rPr>
                <w:rFonts w:eastAsia="SimSun" w:cs="Arial" w:ascii="Arial" w:hAnsi="Arial"/>
                <w:bCs/>
                <w:sz w:val="24"/>
                <w:szCs w:val="24"/>
                <w:lang w:bidi="hi-IN"/>
              </w:rPr>
              <w:t>Triagem Auditiva Neonatal</w:t>
            </w:r>
          </w:p>
        </w:tc>
      </w:tr>
      <w:tr>
        <w:trPr/>
        <w:tc>
          <w:tcPr>
            <w:tcW w:w="1676" w:type="dxa"/>
            <w:tcBorders/>
            <w:shd w:color="auto" w:fill="auto" w:val="clear"/>
          </w:tcPr>
          <w:p>
            <w:pPr>
              <w:pStyle w:val="Normal"/>
              <w:spacing w:lineRule="auto" w:line="360"/>
              <w:jc w:val="both"/>
              <w:rPr>
                <w:rFonts w:ascii="Arial" w:hAnsi="Arial" w:cs="Arial"/>
                <w:bCs/>
                <w:sz w:val="24"/>
                <w:szCs w:val="24"/>
              </w:rPr>
            </w:pPr>
            <w:r>
              <w:rPr>
                <w:rFonts w:cs="Arial" w:ascii="Arial" w:hAnsi="Arial"/>
                <w:sz w:val="24"/>
                <w:szCs w:val="24"/>
              </w:rPr>
              <w:t>TFD</w:t>
            </w:r>
          </w:p>
        </w:tc>
        <w:tc>
          <w:tcPr>
            <w:tcW w:w="6776" w:type="dxa"/>
            <w:tcBorders/>
            <w:shd w:color="auto" w:fill="auto" w:val="clear"/>
          </w:tcPr>
          <w:p>
            <w:pPr>
              <w:pStyle w:val="Normal"/>
              <w:spacing w:lineRule="auto" w:line="360"/>
              <w:rPr/>
            </w:pPr>
            <w:r>
              <w:rPr>
                <w:rFonts w:cs="Arial" w:ascii="Arial" w:hAnsi="Arial"/>
                <w:bCs/>
                <w:sz w:val="24"/>
                <w:szCs w:val="24"/>
              </w:rPr>
              <w:t>Tratamento Fora de Domicílio</w:t>
            </w:r>
          </w:p>
        </w:tc>
      </w:tr>
      <w:tr>
        <w:trPr/>
        <w:tc>
          <w:tcPr>
            <w:tcW w:w="1676" w:type="dxa"/>
            <w:tcBorders/>
            <w:shd w:color="auto" w:fill="auto" w:val="clear"/>
          </w:tcPr>
          <w:p>
            <w:pPr>
              <w:pStyle w:val="Normal"/>
              <w:spacing w:lineRule="auto" w:line="360"/>
              <w:rPr>
                <w:rFonts w:ascii="Arial" w:hAnsi="Arial" w:eastAsia="SimSun" w:cs="Arial"/>
                <w:bCs/>
                <w:sz w:val="24"/>
                <w:szCs w:val="24"/>
                <w:lang w:bidi="hi-IN"/>
              </w:rPr>
            </w:pPr>
            <w:r>
              <w:rPr>
                <w:rFonts w:eastAsia="SimSun" w:cs="Arial" w:ascii="Arial" w:hAnsi="Arial"/>
                <w:sz w:val="24"/>
                <w:szCs w:val="24"/>
                <w:lang w:bidi="hi-IN"/>
              </w:rPr>
              <w:t>UBS</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Unidade Básica de Saúde</w:t>
            </w:r>
          </w:p>
        </w:tc>
      </w:tr>
      <w:tr>
        <w:trPr/>
        <w:tc>
          <w:tcPr>
            <w:tcW w:w="1676" w:type="dxa"/>
            <w:tcBorders/>
            <w:shd w:color="auto" w:fill="auto" w:val="clear"/>
          </w:tcPr>
          <w:p>
            <w:pPr>
              <w:pStyle w:val="Normal"/>
              <w:spacing w:lineRule="auto" w:line="360"/>
              <w:rPr>
                <w:rFonts w:ascii="Arial" w:hAnsi="Arial" w:eastAsia="SimSun" w:cs="Arial"/>
                <w:bCs/>
                <w:sz w:val="24"/>
                <w:szCs w:val="24"/>
                <w:lang w:bidi="hi-IN"/>
              </w:rPr>
            </w:pPr>
            <w:r>
              <w:rPr>
                <w:rFonts w:eastAsia="SimSun" w:cs="Arial" w:ascii="Arial" w:hAnsi="Arial"/>
                <w:sz w:val="24"/>
                <w:szCs w:val="24"/>
                <w:lang w:bidi="hi-IN"/>
              </w:rPr>
              <w:t>UNIVALI</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Universidade do Vale do Itajaí</w:t>
            </w:r>
          </w:p>
        </w:tc>
      </w:tr>
      <w:tr>
        <w:trPr/>
        <w:tc>
          <w:tcPr>
            <w:tcW w:w="1676" w:type="dxa"/>
            <w:tcBorders/>
            <w:shd w:color="auto" w:fill="auto" w:val="clear"/>
          </w:tcPr>
          <w:p>
            <w:pPr>
              <w:pStyle w:val="Normal"/>
              <w:spacing w:lineRule="auto" w:line="360"/>
              <w:rPr>
                <w:rFonts w:ascii="Arial" w:hAnsi="Arial" w:eastAsia="SimSun" w:cs="Arial"/>
                <w:bCs/>
                <w:sz w:val="24"/>
                <w:szCs w:val="24"/>
                <w:lang w:bidi="hi-IN"/>
              </w:rPr>
            </w:pPr>
            <w:r>
              <w:rPr>
                <w:rFonts w:eastAsia="SimSun" w:cs="Arial" w:ascii="Arial" w:hAnsi="Arial"/>
                <w:sz w:val="24"/>
                <w:szCs w:val="24"/>
                <w:lang w:bidi="hi-IN"/>
              </w:rPr>
              <w:t>UFSC</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Universidade Federal de Santa Catarina</w:t>
            </w:r>
          </w:p>
        </w:tc>
      </w:tr>
      <w:tr>
        <w:trPr/>
        <w:tc>
          <w:tcPr>
            <w:tcW w:w="1676" w:type="dxa"/>
            <w:tcBorders/>
            <w:shd w:color="auto" w:fill="auto" w:val="clear"/>
          </w:tcPr>
          <w:p>
            <w:pPr>
              <w:pStyle w:val="Normal"/>
              <w:spacing w:lineRule="auto" w:line="360"/>
              <w:rPr>
                <w:rFonts w:ascii="Arial" w:hAnsi="Arial" w:eastAsia="SimSun" w:cs="Arial"/>
                <w:bCs/>
                <w:sz w:val="24"/>
                <w:szCs w:val="24"/>
                <w:lang w:bidi="hi-IN"/>
              </w:rPr>
            </w:pPr>
            <w:r>
              <w:rPr>
                <w:rFonts w:eastAsia="SimSun" w:cs="Arial" w:ascii="Arial" w:hAnsi="Arial"/>
                <w:sz w:val="24"/>
                <w:szCs w:val="24"/>
                <w:lang w:bidi="hi-IN"/>
              </w:rPr>
              <w:t>UTI</w:t>
            </w:r>
          </w:p>
        </w:tc>
        <w:tc>
          <w:tcPr>
            <w:tcW w:w="6776" w:type="dxa"/>
            <w:tcBorders/>
            <w:shd w:color="auto" w:fill="auto" w:val="clear"/>
          </w:tcPr>
          <w:p>
            <w:pPr>
              <w:pStyle w:val="Normal"/>
              <w:spacing w:lineRule="auto" w:line="360"/>
              <w:jc w:val="both"/>
              <w:rPr/>
            </w:pPr>
            <w:r>
              <w:rPr>
                <w:rFonts w:eastAsia="SimSun" w:cs="Arial" w:ascii="Arial" w:hAnsi="Arial"/>
                <w:bCs/>
                <w:sz w:val="24"/>
                <w:szCs w:val="24"/>
                <w:lang w:bidi="hi-IN"/>
              </w:rPr>
              <w:t>Unidade de Tratamento Intensivo</w:t>
            </w:r>
          </w:p>
        </w:tc>
      </w:tr>
      <w:tr>
        <w:trPr/>
        <w:tc>
          <w:tcPr>
            <w:tcW w:w="1676" w:type="dxa"/>
            <w:tcBorders/>
            <w:shd w:color="auto" w:fill="auto" w:val="clear"/>
          </w:tcPr>
          <w:p>
            <w:pPr>
              <w:pStyle w:val="Normal"/>
              <w:keepLines/>
              <w:spacing w:lineRule="auto" w:line="360"/>
              <w:jc w:val="both"/>
              <w:rPr>
                <w:rFonts w:ascii="Arial" w:hAnsi="Arial" w:eastAsia="SimSun" w:cs="Arial"/>
                <w:bCs/>
                <w:sz w:val="24"/>
                <w:szCs w:val="24"/>
                <w:lang w:bidi="hi-IN"/>
              </w:rPr>
            </w:pPr>
            <w:r>
              <w:rPr>
                <w:rFonts w:eastAsia="SimSun" w:cs="Arial" w:ascii="Arial" w:hAnsi="Arial"/>
                <w:bCs/>
                <w:sz w:val="24"/>
                <w:szCs w:val="24"/>
                <w:lang w:bidi="hi-IN"/>
              </w:rPr>
              <w:t>VRA</w:t>
            </w:r>
          </w:p>
        </w:tc>
        <w:tc>
          <w:tcPr>
            <w:tcW w:w="6776" w:type="dxa"/>
            <w:tcBorders/>
            <w:shd w:color="auto" w:fill="auto" w:val="clear"/>
          </w:tcPr>
          <w:p>
            <w:pPr>
              <w:pStyle w:val="Normal"/>
              <w:keepLines/>
              <w:spacing w:lineRule="auto" w:line="360"/>
              <w:jc w:val="both"/>
              <w:rPr/>
            </w:pPr>
            <w:r>
              <w:rPr>
                <w:rFonts w:eastAsia="SimSun" w:cs="Arial" w:ascii="Arial" w:hAnsi="Arial"/>
                <w:bCs/>
                <w:sz w:val="24"/>
                <w:szCs w:val="24"/>
                <w:lang w:bidi="hi-IN"/>
              </w:rPr>
              <w:t>Audiometria de Reforço Visual</w:t>
            </w:r>
          </w:p>
        </w:tc>
      </w:tr>
    </w:tbl>
    <w:p>
      <w:pPr>
        <w:pStyle w:val="Ttulodondicedefiguras"/>
        <w:jc w:val="center"/>
        <w:rPr>
          <w:rFonts w:ascii="Arial" w:hAnsi="Arial" w:cs="Arial"/>
          <w:sz w:val="24"/>
          <w:szCs w:val="24"/>
        </w:rPr>
      </w:pPr>
      <w:r>
        <w:rPr>
          <w:rFonts w:cs="Arial" w:ascii="Arial" w:hAnsi="Arial"/>
          <w:b/>
          <w:sz w:val="24"/>
          <w:szCs w:val="24"/>
        </w:rPr>
        <w:t xml:space="preserve">FIGURAS </w:t>
      </w:r>
    </w:p>
    <w:p>
      <w:pPr>
        <w:pStyle w:val="Normal"/>
        <w:spacing w:lineRule="atLeast" w:line="270"/>
        <w:jc w:val="center"/>
        <w:textAlignment w:val="auto"/>
        <w:rPr>
          <w:rFonts w:ascii="Arial" w:hAnsi="Arial" w:cs="Arial"/>
          <w:sz w:val="24"/>
          <w:szCs w:val="24"/>
        </w:rPr>
      </w:pPr>
      <w:r>
        <w:rPr>
          <w:rFonts w:cs="Arial" w:ascii="Arial" w:hAnsi="Arial"/>
          <w:sz w:val="24"/>
          <w:szCs w:val="24"/>
        </w:rPr>
      </w:r>
    </w:p>
    <w:tbl>
      <w:tblPr>
        <w:tblW w:w="8223" w:type="dxa"/>
        <w:jc w:val="left"/>
        <w:tblInd w:w="98" w:type="dxa"/>
        <w:tblBorders/>
        <w:tblCellMar>
          <w:top w:w="0" w:type="dxa"/>
          <w:left w:w="70" w:type="dxa"/>
          <w:bottom w:w="0" w:type="dxa"/>
          <w:right w:w="70" w:type="dxa"/>
        </w:tblCellMar>
        <w:tblLook w:firstRow="0" w:noVBand="0" w:lastRow="0" w:firstColumn="0" w:lastColumn="0" w:noHBand="0" w:val="0000"/>
      </w:tblPr>
      <w:tblGrid>
        <w:gridCol w:w="1240"/>
        <w:gridCol w:w="6298"/>
        <w:gridCol w:w="685"/>
      </w:tblGrid>
      <w:tr>
        <w:trPr>
          <w:trHeight w:val="750" w:hRule="atLeast"/>
        </w:trPr>
        <w:tc>
          <w:tcPr>
            <w:tcW w:w="1240" w:type="dxa"/>
            <w:tcBorders/>
            <w:shd w:color="auto" w:fill="FFFFFF" w:val="clear"/>
          </w:tcPr>
          <w:p>
            <w:pPr>
              <w:pStyle w:val="Normal"/>
              <w:spacing w:lineRule="auto" w:line="360"/>
              <w:jc w:val="both"/>
              <w:rPr>
                <w:rFonts w:ascii="Arial" w:hAnsi="Arial" w:eastAsia="SimSun" w:cs="Arial"/>
                <w:iCs/>
                <w:sz w:val="24"/>
                <w:szCs w:val="24"/>
                <w:highlight w:val="white"/>
                <w:lang w:bidi="hi-IN"/>
              </w:rPr>
            </w:pPr>
            <w:r>
              <w:rPr>
                <w:rFonts w:eastAsia="SimSun" w:cs="Arial" w:ascii="Arial" w:hAnsi="Arial"/>
                <w:iCs/>
                <w:sz w:val="24"/>
                <w:szCs w:val="24"/>
                <w:shd w:fill="FFFFFF" w:val="clear"/>
                <w:lang w:bidi="hi-IN"/>
              </w:rPr>
              <w:t>Figura 1 -</w:t>
            </w:r>
          </w:p>
        </w:tc>
        <w:tc>
          <w:tcPr>
            <w:tcW w:w="6298" w:type="dxa"/>
            <w:tcBorders/>
            <w:shd w:color="auto" w:fill="FFFFFF" w:val="clear"/>
          </w:tcPr>
          <w:p>
            <w:pPr>
              <w:pStyle w:val="Normal"/>
              <w:spacing w:lineRule="auto" w:line="360"/>
              <w:jc w:val="both"/>
              <w:rPr>
                <w:rFonts w:ascii="Arial" w:hAnsi="Arial" w:eastAsia="SimSun" w:cs="Arial"/>
                <w:iCs/>
                <w:sz w:val="24"/>
                <w:szCs w:val="24"/>
                <w:highlight w:val="white"/>
                <w:lang w:bidi="hi-IN"/>
              </w:rPr>
            </w:pPr>
            <w:r>
              <w:rPr>
                <w:rFonts w:eastAsia="SimSun" w:cs="Arial" w:ascii="Arial" w:hAnsi="Arial"/>
                <w:iCs/>
                <w:sz w:val="24"/>
                <w:szCs w:val="24"/>
                <w:shd w:fill="FFFFFF" w:val="clear"/>
                <w:lang w:bidi="hi-IN"/>
              </w:rPr>
              <w:t>Mapa de configuração das 36 SDRs de Santa Catarina..............................................................................</w:t>
            </w:r>
          </w:p>
        </w:tc>
        <w:tc>
          <w:tcPr>
            <w:tcW w:w="685" w:type="dxa"/>
            <w:tcBorders/>
            <w:shd w:color="auto" w:fill="FFFFFF" w:val="clear"/>
          </w:tcPr>
          <w:p>
            <w:pPr>
              <w:pStyle w:val="Normal"/>
              <w:spacing w:lineRule="auto" w:line="360"/>
              <w:jc w:val="both"/>
              <w:rPr/>
            </w:pPr>
            <w:r>
              <w:rPr/>
            </w:r>
          </w:p>
          <w:p>
            <w:pPr>
              <w:pStyle w:val="Normal"/>
              <w:spacing w:lineRule="auto" w:line="360"/>
              <w:jc w:val="both"/>
              <w:rPr>
                <w:rFonts w:ascii="Arial" w:hAnsi="Arial" w:cs="Arial"/>
                <w:sz w:val="24"/>
              </w:rPr>
            </w:pPr>
            <w:r>
              <w:rPr>
                <w:rFonts w:cs="Arial" w:ascii="Arial" w:hAnsi="Arial"/>
                <w:sz w:val="24"/>
              </w:rPr>
              <w:t>12</w:t>
            </w:r>
          </w:p>
        </w:tc>
      </w:tr>
      <w:tr>
        <w:trPr>
          <w:trHeight w:val="230" w:hRule="atLeast"/>
        </w:trPr>
        <w:tc>
          <w:tcPr>
            <w:tcW w:w="1240" w:type="dxa"/>
            <w:tcBorders/>
            <w:shd w:color="auto" w:fill="FFFFFF" w:val="clear"/>
          </w:tcPr>
          <w:p>
            <w:pPr>
              <w:pStyle w:val="Normal"/>
              <w:spacing w:lineRule="auto" w:line="360" w:before="120" w:after="120"/>
              <w:jc w:val="both"/>
              <w:rPr>
                <w:rFonts w:ascii="Arial" w:hAnsi="Arial" w:cs="Arial"/>
                <w:bCs/>
                <w:sz w:val="24"/>
                <w:szCs w:val="24"/>
              </w:rPr>
            </w:pPr>
            <w:r>
              <w:rPr>
                <w:rFonts w:cs="Arial" w:ascii="Arial" w:hAnsi="Arial"/>
                <w:bCs/>
                <w:sz w:val="24"/>
                <w:szCs w:val="24"/>
              </w:rPr>
              <w:t xml:space="preserve">Figura 2 - </w:t>
            </w:r>
          </w:p>
        </w:tc>
        <w:tc>
          <w:tcPr>
            <w:tcW w:w="6298" w:type="dxa"/>
            <w:tcBorders/>
            <w:shd w:color="auto" w:fill="FFFFFF" w:val="clear"/>
          </w:tcPr>
          <w:p>
            <w:pPr>
              <w:pStyle w:val="Normal"/>
              <w:spacing w:lineRule="auto" w:line="360" w:before="120" w:after="120"/>
              <w:jc w:val="both"/>
              <w:rPr>
                <w:rFonts w:ascii="Arial" w:hAnsi="Arial" w:cs="Arial"/>
                <w:bCs/>
                <w:sz w:val="24"/>
                <w:szCs w:val="24"/>
              </w:rPr>
            </w:pPr>
            <w:r>
              <w:rPr>
                <w:rFonts w:cs="Arial" w:ascii="Arial" w:hAnsi="Arial"/>
                <w:bCs/>
                <w:sz w:val="24"/>
                <w:szCs w:val="24"/>
              </w:rPr>
              <w:t>Fluxograma da Triagem Auditiva Neonatal (TAN) para o Estado de Santa Catarina..................................................</w:t>
            </w:r>
          </w:p>
        </w:tc>
        <w:tc>
          <w:tcPr>
            <w:tcW w:w="685" w:type="dxa"/>
            <w:tcBorders/>
            <w:shd w:color="auto" w:fill="FFFFFF" w:val="clear"/>
          </w:tcPr>
          <w:p>
            <w:pPr>
              <w:pStyle w:val="Normal"/>
              <w:spacing w:lineRule="auto" w:line="360" w:before="120" w:after="120"/>
              <w:jc w:val="both"/>
              <w:rPr/>
            </w:pPr>
            <w:r>
              <w:rPr/>
            </w:r>
          </w:p>
          <w:p>
            <w:pPr>
              <w:pStyle w:val="Normal"/>
              <w:spacing w:lineRule="auto" w:line="360" w:before="120" w:after="120"/>
              <w:jc w:val="both"/>
              <w:rPr>
                <w:rFonts w:ascii="Arial" w:hAnsi="Arial" w:cs="Arial"/>
                <w:sz w:val="24"/>
                <w:szCs w:val="24"/>
              </w:rPr>
            </w:pPr>
            <w:r>
              <w:rPr>
                <w:rFonts w:cs="Arial" w:ascii="Arial" w:hAnsi="Arial"/>
                <w:sz w:val="24"/>
                <w:szCs w:val="24"/>
              </w:rPr>
              <w:t>24</w:t>
            </w:r>
          </w:p>
        </w:tc>
      </w:tr>
      <w:tr>
        <w:trPr>
          <w:trHeight w:val="230" w:hRule="atLeast"/>
        </w:trPr>
        <w:tc>
          <w:tcPr>
            <w:tcW w:w="1240" w:type="dxa"/>
            <w:tcBorders/>
            <w:shd w:color="auto" w:fill="FFFFFF" w:val="clear"/>
          </w:tcPr>
          <w:p>
            <w:pPr>
              <w:pStyle w:val="Normal"/>
              <w:spacing w:lineRule="auto" w:line="360" w:before="120" w:after="120"/>
              <w:jc w:val="both"/>
              <w:rPr>
                <w:rFonts w:ascii="Arial" w:hAnsi="Arial" w:eastAsia="SimSun" w:cs="Arial"/>
                <w:bCs/>
                <w:sz w:val="24"/>
                <w:szCs w:val="24"/>
                <w:lang w:bidi="hi-IN"/>
              </w:rPr>
            </w:pPr>
            <w:r>
              <w:rPr>
                <w:rFonts w:eastAsia="SimSun" w:cs="Arial" w:ascii="Arial" w:hAnsi="Arial"/>
                <w:sz w:val="24"/>
                <w:szCs w:val="24"/>
                <w:lang w:bidi="hi-IN"/>
              </w:rPr>
              <w:t xml:space="preserve">Figura 3 - </w:t>
            </w:r>
          </w:p>
        </w:tc>
        <w:tc>
          <w:tcPr>
            <w:tcW w:w="6298" w:type="dxa"/>
            <w:tcBorders/>
            <w:shd w:color="auto" w:fill="FFFFFF" w:val="clear"/>
          </w:tcPr>
          <w:p>
            <w:pPr>
              <w:pStyle w:val="Normal"/>
              <w:spacing w:lineRule="auto" w:line="360" w:before="120" w:after="120"/>
              <w:jc w:val="both"/>
              <w:rPr>
                <w:rFonts w:ascii="Arial" w:hAnsi="Arial" w:eastAsia="SimSun" w:cs="Arial"/>
                <w:bCs/>
                <w:sz w:val="24"/>
                <w:szCs w:val="24"/>
                <w:lang w:bidi="hi-IN"/>
              </w:rPr>
            </w:pPr>
            <w:r>
              <w:rPr>
                <w:rFonts w:eastAsia="SimSun" w:cs="Arial" w:ascii="Arial" w:hAnsi="Arial"/>
                <w:bCs/>
                <w:sz w:val="24"/>
                <w:szCs w:val="24"/>
                <w:lang w:bidi="hi-IN"/>
              </w:rPr>
              <w:t>Fluxo do Serviço Ambulatorial de Saúde Auditiva (SASA)...............................................................................</w:t>
            </w:r>
          </w:p>
        </w:tc>
        <w:tc>
          <w:tcPr>
            <w:tcW w:w="685" w:type="dxa"/>
            <w:tcBorders/>
            <w:shd w:color="auto" w:fill="FFFFFF" w:val="clear"/>
          </w:tcPr>
          <w:p>
            <w:pPr>
              <w:pStyle w:val="Normal"/>
              <w:spacing w:lineRule="auto" w:line="360" w:before="120" w:after="120"/>
              <w:jc w:val="both"/>
              <w:rPr>
                <w:rFonts w:ascii="Arial" w:hAnsi="Arial" w:eastAsia="SimSun" w:cs="Arial"/>
                <w:bCs/>
                <w:sz w:val="24"/>
                <w:szCs w:val="24"/>
                <w:lang w:bidi="hi-IN"/>
              </w:rPr>
            </w:pPr>
            <w:r>
              <w:rPr>
                <w:rFonts w:eastAsia="SimSun" w:cs="Arial" w:ascii="Arial" w:hAnsi="Arial"/>
                <w:bCs/>
                <w:sz w:val="24"/>
                <w:szCs w:val="24"/>
                <w:lang w:bidi="hi-IN"/>
              </w:rPr>
            </w:r>
          </w:p>
          <w:p>
            <w:pPr>
              <w:pStyle w:val="Normal"/>
              <w:spacing w:lineRule="auto" w:line="360" w:before="120" w:after="120"/>
              <w:jc w:val="both"/>
              <w:rPr>
                <w:rFonts w:ascii="Arial" w:hAnsi="Arial" w:cs="Arial"/>
                <w:sz w:val="24"/>
                <w:szCs w:val="24"/>
              </w:rPr>
            </w:pPr>
            <w:r>
              <w:rPr>
                <w:rFonts w:cs="Arial" w:ascii="Arial" w:hAnsi="Arial"/>
                <w:sz w:val="24"/>
                <w:szCs w:val="24"/>
              </w:rPr>
              <w:t>46</w:t>
            </w:r>
          </w:p>
        </w:tc>
      </w:tr>
      <w:tr>
        <w:trPr>
          <w:trHeight w:val="230" w:hRule="atLeast"/>
        </w:trPr>
        <w:tc>
          <w:tcPr>
            <w:tcW w:w="1240" w:type="dxa"/>
            <w:tcBorders/>
            <w:shd w:color="auto" w:fill="FFFFFF" w:val="clear"/>
          </w:tcPr>
          <w:p>
            <w:pPr>
              <w:pStyle w:val="Corpodetexto31"/>
              <w:ind w:right="0" w:hanging="0"/>
              <w:rPr>
                <w:rFonts w:ascii="Arial" w:hAnsi="Arial" w:eastAsia="SimSun" w:cs="Arial"/>
                <w:bCs/>
                <w:szCs w:val="24"/>
                <w:lang w:bidi="hi-IN"/>
              </w:rPr>
            </w:pPr>
            <w:r>
              <w:rPr>
                <w:rFonts w:eastAsia="SimSun" w:cs="Arial" w:ascii="Arial" w:hAnsi="Arial"/>
                <w:szCs w:val="24"/>
                <w:lang w:bidi="hi-IN"/>
              </w:rPr>
              <w:t xml:space="preserve">Figura 4 - </w:t>
            </w:r>
          </w:p>
        </w:tc>
        <w:tc>
          <w:tcPr>
            <w:tcW w:w="6298" w:type="dxa"/>
            <w:tcBorders/>
            <w:shd w:color="auto" w:fill="FFFFFF" w:val="clear"/>
          </w:tcPr>
          <w:p>
            <w:pPr>
              <w:pStyle w:val="Corpodetexto31"/>
              <w:ind w:right="0" w:hanging="0"/>
              <w:rPr>
                <w:rFonts w:ascii="Arial" w:hAnsi="Arial" w:eastAsia="SimSun" w:cs="Arial"/>
                <w:bCs/>
                <w:szCs w:val="24"/>
                <w:lang w:bidi="hi-IN"/>
              </w:rPr>
            </w:pPr>
            <w:r>
              <w:rPr>
                <w:rFonts w:eastAsia="SimSun" w:cs="Arial" w:ascii="Arial" w:hAnsi="Arial"/>
                <w:bCs/>
                <w:szCs w:val="24"/>
                <w:lang w:bidi="hi-IN"/>
              </w:rPr>
              <w:t>Fluxo do Serviço Hospitalar de Saúde Auditiva (SHSA)...............................................................................</w:t>
            </w:r>
          </w:p>
        </w:tc>
        <w:tc>
          <w:tcPr>
            <w:tcW w:w="685" w:type="dxa"/>
            <w:tcBorders/>
            <w:shd w:color="auto" w:fill="FFFFFF" w:val="clear"/>
          </w:tcPr>
          <w:p>
            <w:pPr>
              <w:pStyle w:val="Corpodetexto31"/>
              <w:ind w:right="0" w:hanging="0"/>
              <w:rPr>
                <w:rFonts w:ascii="Arial" w:hAnsi="Arial" w:eastAsia="SimSun" w:cs="Arial"/>
                <w:bCs/>
                <w:szCs w:val="24"/>
                <w:lang w:bidi="hi-IN"/>
              </w:rPr>
            </w:pPr>
            <w:r>
              <w:rPr>
                <w:rFonts w:eastAsia="SimSun" w:cs="Arial" w:ascii="Arial" w:hAnsi="Arial"/>
                <w:bCs/>
                <w:szCs w:val="24"/>
                <w:lang w:bidi="hi-IN"/>
              </w:rPr>
            </w:r>
          </w:p>
          <w:p>
            <w:pPr>
              <w:pStyle w:val="Corpodetexto31"/>
              <w:ind w:right="0" w:hanging="0"/>
              <w:rPr/>
            </w:pPr>
            <w:r>
              <w:rPr>
                <w:rFonts w:eastAsia="SimSun" w:cs="Arial" w:ascii="Arial" w:hAnsi="Arial"/>
                <w:bCs/>
                <w:szCs w:val="24"/>
                <w:lang w:bidi="hi-IN"/>
              </w:rPr>
              <w:t>54</w:t>
            </w:r>
          </w:p>
        </w:tc>
      </w:tr>
      <w:tr>
        <w:trPr>
          <w:trHeight w:val="230" w:hRule="atLeast"/>
        </w:trPr>
        <w:tc>
          <w:tcPr>
            <w:tcW w:w="1240" w:type="dxa"/>
            <w:tcBorders/>
            <w:shd w:color="auto" w:fill="FFFFFF" w:val="clear"/>
          </w:tcPr>
          <w:p>
            <w:pPr>
              <w:pStyle w:val="Normal"/>
              <w:snapToGrid w:val="false"/>
              <w:spacing w:lineRule="auto" w:line="360"/>
              <w:rPr>
                <w:rFonts w:ascii="Arial" w:hAnsi="Arial" w:cs="Arial"/>
                <w:sz w:val="24"/>
                <w:szCs w:val="24"/>
              </w:rPr>
            </w:pPr>
            <w:r>
              <w:rPr>
                <w:rFonts w:cs="Arial" w:ascii="Arial" w:hAnsi="Arial"/>
                <w:sz w:val="24"/>
                <w:szCs w:val="24"/>
              </w:rPr>
            </w:r>
          </w:p>
        </w:tc>
        <w:tc>
          <w:tcPr>
            <w:tcW w:w="6298" w:type="dxa"/>
            <w:tcBorders/>
            <w:shd w:color="auto" w:fill="FFFFFF" w:val="clear"/>
          </w:tcPr>
          <w:p>
            <w:pPr>
              <w:pStyle w:val="Normal"/>
              <w:snapToGrid w:val="false"/>
              <w:spacing w:lineRule="auto" w:line="360"/>
              <w:rPr>
                <w:rFonts w:ascii="Arial" w:hAnsi="Arial" w:cs="Arial"/>
                <w:bCs/>
                <w:sz w:val="24"/>
                <w:szCs w:val="24"/>
              </w:rPr>
            </w:pPr>
            <w:r>
              <w:rPr>
                <w:rFonts w:cs="Arial" w:ascii="Arial" w:hAnsi="Arial"/>
                <w:bCs/>
                <w:sz w:val="24"/>
                <w:szCs w:val="24"/>
              </w:rPr>
            </w:r>
          </w:p>
        </w:tc>
        <w:tc>
          <w:tcPr>
            <w:tcW w:w="685" w:type="dxa"/>
            <w:tcBorders/>
            <w:shd w:color="auto" w:fill="FFFFFF" w:val="clear"/>
          </w:tcPr>
          <w:p>
            <w:pPr>
              <w:pStyle w:val="Normal"/>
              <w:snapToGrid w:val="false"/>
              <w:spacing w:lineRule="auto" w:line="360"/>
              <w:rPr>
                <w:rFonts w:ascii="Arial" w:hAnsi="Arial" w:cs="Arial"/>
                <w:bCs/>
                <w:sz w:val="24"/>
                <w:szCs w:val="24"/>
              </w:rPr>
            </w:pPr>
            <w:r>
              <w:rPr>
                <w:rFonts w:cs="Arial" w:ascii="Arial" w:hAnsi="Arial"/>
                <w:bCs/>
                <w:sz w:val="24"/>
                <w:szCs w:val="24"/>
              </w:rPr>
            </w:r>
          </w:p>
        </w:tc>
      </w:tr>
    </w:tbl>
    <w:p>
      <w:pPr>
        <w:pStyle w:val="Normal"/>
        <w:spacing w:lineRule="auto" w:line="360" w:before="120" w:after="120"/>
        <w:jc w:val="center"/>
        <w:textAlignment w:val="auto"/>
        <w:rPr>
          <w:rFonts w:ascii="Arial" w:hAnsi="Arial" w:cs="Arial"/>
          <w:color w:val="000000"/>
        </w:rPr>
      </w:pPr>
      <w:r>
        <w:rPr>
          <w:rFonts w:cs="Arial" w:ascii="Arial" w:hAnsi="Arial"/>
          <w:color w:val="000000"/>
        </w:rPr>
      </w:r>
      <w:r>
        <w:br w:type="page"/>
      </w:r>
    </w:p>
    <w:p>
      <w:pPr>
        <w:pStyle w:val="Normal"/>
        <w:spacing w:lineRule="atLeast" w:line="270"/>
        <w:jc w:val="center"/>
        <w:textAlignment w:val="auto"/>
        <w:rPr/>
      </w:pPr>
      <w:r>
        <w:rPr/>
      </w:r>
    </w:p>
    <w:p>
      <w:pPr>
        <w:pStyle w:val="Ttulodondicedetabelas"/>
        <w:jc w:val="center"/>
        <w:rPr>
          <w:rFonts w:ascii="Arial" w:hAnsi="Arial" w:cs="Arial"/>
          <w:sz w:val="24"/>
          <w:szCs w:val="24"/>
        </w:rPr>
      </w:pPr>
      <w:r>
        <w:rPr>
          <w:rFonts w:cs="Arial" w:ascii="Arial" w:hAnsi="Arial"/>
          <w:b/>
          <w:sz w:val="24"/>
          <w:szCs w:val="24"/>
        </w:rPr>
        <w:t>QUADROS</w:t>
      </w:r>
    </w:p>
    <w:p>
      <w:pPr>
        <w:pStyle w:val="Normal"/>
        <w:spacing w:lineRule="atLeast" w:line="270"/>
        <w:jc w:val="center"/>
        <w:textAlignment w:val="auto"/>
        <w:rPr>
          <w:rFonts w:ascii="Arial" w:hAnsi="Arial" w:cs="Arial"/>
          <w:sz w:val="24"/>
          <w:szCs w:val="24"/>
        </w:rPr>
      </w:pPr>
      <w:r>
        <w:rPr>
          <w:rFonts w:cs="Arial" w:ascii="Arial" w:hAnsi="Arial"/>
          <w:sz w:val="24"/>
          <w:szCs w:val="24"/>
        </w:rPr>
      </w:r>
    </w:p>
    <w:tbl>
      <w:tblPr>
        <w:tblW w:w="8450" w:type="dxa"/>
        <w:jc w:val="left"/>
        <w:tblInd w:w="81" w:type="dxa"/>
        <w:tblBorders/>
        <w:tblCellMar>
          <w:top w:w="0" w:type="dxa"/>
          <w:left w:w="70" w:type="dxa"/>
          <w:bottom w:w="0" w:type="dxa"/>
          <w:right w:w="70" w:type="dxa"/>
        </w:tblCellMar>
        <w:tblLook w:firstRow="0" w:noVBand="0" w:lastRow="0" w:firstColumn="0" w:lastColumn="0" w:noHBand="0" w:val="0000"/>
      </w:tblPr>
      <w:tblGrid>
        <w:gridCol w:w="1367"/>
        <w:gridCol w:w="6166"/>
        <w:gridCol w:w="917"/>
      </w:tblGrid>
      <w:tr>
        <w:trPr>
          <w:trHeight w:val="230" w:hRule="atLeast"/>
        </w:trPr>
        <w:tc>
          <w:tcPr>
            <w:tcW w:w="1367" w:type="dxa"/>
            <w:tcBorders/>
            <w:shd w:color="auto" w:fill="FFFFFF" w:val="clear"/>
          </w:tcPr>
          <w:p>
            <w:pPr>
              <w:pStyle w:val="Corpodetexto"/>
              <w:spacing w:lineRule="auto" w:line="360" w:before="0" w:after="140"/>
              <w:rPr>
                <w:rFonts w:ascii="Arial" w:hAnsi="Arial" w:eastAsia="SimSun" w:cs="Arial"/>
                <w:iCs/>
                <w:sz w:val="24"/>
                <w:szCs w:val="24"/>
                <w:lang w:bidi="hi-IN"/>
              </w:rPr>
            </w:pPr>
            <w:r>
              <w:rPr>
                <w:rFonts w:eastAsia="SimSun" w:cs="Arial" w:ascii="Arial" w:hAnsi="Arial"/>
                <w:iCs/>
                <w:sz w:val="24"/>
                <w:szCs w:val="24"/>
                <w:lang w:bidi="hi-IN"/>
              </w:rPr>
              <w:t xml:space="preserve">Quadro 1 - </w:t>
            </w:r>
          </w:p>
        </w:tc>
        <w:tc>
          <w:tcPr>
            <w:tcW w:w="6166" w:type="dxa"/>
            <w:tcBorders/>
            <w:shd w:color="auto" w:fill="FFFFFF" w:val="clear"/>
          </w:tcPr>
          <w:p>
            <w:pPr>
              <w:pStyle w:val="Corpodetexto"/>
              <w:spacing w:lineRule="auto" w:line="360" w:before="0" w:after="140"/>
              <w:rPr>
                <w:rFonts w:ascii="Arial" w:hAnsi="Arial" w:eastAsia="SimSun" w:cs="Arial"/>
                <w:iCs/>
                <w:sz w:val="24"/>
                <w:szCs w:val="24"/>
                <w:lang w:bidi="hi-IN"/>
              </w:rPr>
            </w:pPr>
            <w:r>
              <w:rPr>
                <w:rFonts w:eastAsia="SimSun" w:cs="Arial" w:ascii="Arial" w:hAnsi="Arial"/>
                <w:iCs/>
                <w:sz w:val="24"/>
                <w:szCs w:val="24"/>
                <w:lang w:bidi="hi-IN"/>
              </w:rPr>
              <w:t>Apresenta as 36 SDRs do Estado de Santa Catarina, por ordem alfabética dos Municípios...............................</w:t>
            </w:r>
          </w:p>
        </w:tc>
        <w:tc>
          <w:tcPr>
            <w:tcW w:w="917" w:type="dxa"/>
            <w:tcBorders/>
            <w:shd w:color="auto" w:fill="FFFFFF" w:val="clear"/>
          </w:tcPr>
          <w:p>
            <w:pPr>
              <w:pStyle w:val="Corpodetexto"/>
              <w:snapToGrid w:val="false"/>
              <w:spacing w:lineRule="auto" w:line="360"/>
              <w:rPr>
                <w:rFonts w:ascii="Arial" w:hAnsi="Arial" w:eastAsia="SimSun" w:cs="Arial"/>
                <w:iCs/>
                <w:sz w:val="24"/>
                <w:szCs w:val="24"/>
                <w:lang w:bidi="hi-IN"/>
              </w:rPr>
            </w:pPr>
            <w:r>
              <w:rPr>
                <w:rFonts w:eastAsia="SimSun" w:cs="Arial" w:ascii="Arial" w:hAnsi="Arial"/>
                <w:iCs/>
                <w:sz w:val="24"/>
                <w:szCs w:val="24"/>
                <w:lang w:bidi="hi-IN"/>
              </w:rPr>
            </w:r>
          </w:p>
          <w:p>
            <w:pPr>
              <w:pStyle w:val="Corpodetexto"/>
              <w:spacing w:lineRule="auto" w:line="360" w:before="0" w:after="140"/>
              <w:rPr/>
            </w:pPr>
            <w:r>
              <w:rPr>
                <w:rFonts w:eastAsia="SimSun" w:cs="Arial" w:ascii="Arial" w:hAnsi="Arial"/>
                <w:iCs/>
                <w:sz w:val="24"/>
                <w:szCs w:val="24"/>
                <w:lang w:bidi="hi-IN"/>
              </w:rPr>
              <w:t>10</w:t>
            </w:r>
          </w:p>
        </w:tc>
      </w:tr>
      <w:tr>
        <w:trPr>
          <w:trHeight w:val="230" w:hRule="atLeast"/>
        </w:trPr>
        <w:tc>
          <w:tcPr>
            <w:tcW w:w="1367" w:type="dxa"/>
            <w:tcBorders/>
            <w:shd w:color="auto" w:fill="FFFFFF" w:val="clear"/>
          </w:tcPr>
          <w:p>
            <w:pPr>
              <w:pStyle w:val="Normal"/>
              <w:spacing w:lineRule="auto" w:line="360"/>
              <w:jc w:val="both"/>
              <w:rPr>
                <w:rFonts w:ascii="Arial" w:hAnsi="Arial" w:cs="Arial"/>
                <w:bCs/>
                <w:sz w:val="24"/>
                <w:szCs w:val="24"/>
                <w:highlight w:val="white"/>
              </w:rPr>
            </w:pPr>
            <w:r>
              <w:rPr>
                <w:rFonts w:cs="Arial" w:ascii="Arial" w:hAnsi="Arial"/>
                <w:bCs/>
                <w:sz w:val="24"/>
                <w:szCs w:val="24"/>
                <w:shd w:fill="FFFFFF" w:val="clear"/>
              </w:rPr>
              <w:t>Quadro 2 -</w:t>
            </w:r>
          </w:p>
        </w:tc>
        <w:tc>
          <w:tcPr>
            <w:tcW w:w="6166" w:type="dxa"/>
            <w:tcBorders/>
            <w:shd w:color="auto" w:fill="FFFFFF" w:val="clear"/>
          </w:tcPr>
          <w:p>
            <w:pPr>
              <w:pStyle w:val="Normal"/>
              <w:spacing w:lineRule="auto" w:line="360"/>
              <w:jc w:val="both"/>
              <w:rPr>
                <w:rFonts w:ascii="Arial" w:hAnsi="Arial" w:cs="Arial"/>
                <w:bCs/>
                <w:sz w:val="24"/>
                <w:szCs w:val="24"/>
                <w:highlight w:val="white"/>
              </w:rPr>
            </w:pPr>
            <w:r>
              <w:rPr>
                <w:rFonts w:cs="Arial" w:ascii="Arial" w:hAnsi="Arial"/>
                <w:bCs/>
                <w:sz w:val="24"/>
                <w:szCs w:val="24"/>
                <w:shd w:fill="FFFFFF" w:val="clear"/>
              </w:rPr>
              <w:t>Legislações publicadas no âmbito Federal e Estadual referentes à saúde auditiva..............................................</w:t>
            </w:r>
          </w:p>
        </w:tc>
        <w:tc>
          <w:tcPr>
            <w:tcW w:w="917" w:type="dxa"/>
            <w:tcBorders/>
            <w:shd w:color="auto" w:fill="FFFFFF" w:val="clear"/>
          </w:tcPr>
          <w:p>
            <w:pPr>
              <w:pStyle w:val="Normal"/>
              <w:snapToGrid w:val="false"/>
              <w:spacing w:lineRule="auto" w:line="360"/>
              <w:jc w:val="both"/>
              <w:rPr>
                <w:rFonts w:ascii="Arial" w:hAnsi="Arial" w:cs="Arial"/>
                <w:bCs/>
                <w:sz w:val="24"/>
                <w:szCs w:val="24"/>
                <w:shd w:fill="FFFFFF" w:val="clear"/>
              </w:rPr>
            </w:pPr>
            <w:r>
              <w:rPr>
                <w:rFonts w:cs="Arial" w:ascii="Arial" w:hAnsi="Arial"/>
                <w:bCs/>
                <w:sz w:val="24"/>
                <w:szCs w:val="24"/>
                <w:shd w:fill="FFFFFF" w:val="clear"/>
              </w:rPr>
            </w:r>
          </w:p>
          <w:p>
            <w:pPr>
              <w:pStyle w:val="Normal"/>
              <w:spacing w:lineRule="auto" w:line="360"/>
              <w:jc w:val="both"/>
              <w:rPr/>
            </w:pPr>
            <w:r>
              <w:rPr>
                <w:rFonts w:cs="Arial" w:ascii="Arial" w:hAnsi="Arial"/>
                <w:bCs/>
                <w:sz w:val="24"/>
                <w:szCs w:val="24"/>
                <w:shd w:fill="FFFFFF" w:val="clear"/>
              </w:rPr>
              <w:t>19</w:t>
            </w:r>
          </w:p>
        </w:tc>
      </w:tr>
      <w:tr>
        <w:trPr>
          <w:trHeight w:val="230" w:hRule="atLeast"/>
        </w:trPr>
        <w:tc>
          <w:tcPr>
            <w:tcW w:w="1367" w:type="dxa"/>
            <w:tcBorders/>
            <w:shd w:color="auto" w:fill="FFFFFF" w:val="clear"/>
          </w:tcPr>
          <w:p>
            <w:pPr>
              <w:pStyle w:val="PargrafodaLista1"/>
              <w:spacing w:lineRule="auto" w:line="360" w:before="120" w:after="120"/>
              <w:ind w:left="0" w:hanging="0"/>
              <w:jc w:val="both"/>
              <w:rPr>
                <w:rFonts w:ascii="Arial" w:hAnsi="Arial" w:cs="Arial"/>
                <w:sz w:val="24"/>
                <w:szCs w:val="24"/>
              </w:rPr>
            </w:pPr>
            <w:r>
              <w:rPr>
                <w:rFonts w:cs="Arial" w:ascii="Arial" w:hAnsi="Arial"/>
                <w:sz w:val="24"/>
                <w:szCs w:val="24"/>
              </w:rPr>
              <w:t xml:space="preserve">Quadro 3 - </w:t>
            </w:r>
          </w:p>
        </w:tc>
        <w:tc>
          <w:tcPr>
            <w:tcW w:w="6166" w:type="dxa"/>
            <w:tcBorders/>
            <w:shd w:color="auto" w:fill="FFFFFF" w:val="clear"/>
          </w:tcPr>
          <w:p>
            <w:pPr>
              <w:pStyle w:val="PargrafodaLista1"/>
              <w:spacing w:lineRule="auto" w:line="360" w:before="120" w:after="120"/>
              <w:ind w:left="0" w:hanging="0"/>
              <w:jc w:val="both"/>
              <w:rPr>
                <w:rFonts w:ascii="Arial" w:hAnsi="Arial" w:cs="Arial"/>
                <w:sz w:val="24"/>
                <w:szCs w:val="24"/>
              </w:rPr>
            </w:pPr>
            <w:r>
              <w:rPr>
                <w:rFonts w:cs="Arial" w:ascii="Arial" w:hAnsi="Arial"/>
                <w:sz w:val="24"/>
                <w:szCs w:val="24"/>
              </w:rPr>
              <w:t>Características mínimas e recursos eletroacústicos dos AASI..................................................................................</w:t>
            </w:r>
          </w:p>
        </w:tc>
        <w:tc>
          <w:tcPr>
            <w:tcW w:w="917" w:type="dxa"/>
            <w:tcBorders/>
            <w:shd w:color="auto" w:fill="FFFFFF" w:val="clear"/>
          </w:tcPr>
          <w:p>
            <w:pPr>
              <w:pStyle w:val="PargrafodaLista1"/>
              <w:snapToGrid w:val="false"/>
              <w:spacing w:lineRule="auto" w:line="360" w:before="120" w:after="120"/>
              <w:ind w:left="0" w:hanging="0"/>
              <w:jc w:val="both"/>
              <w:rPr>
                <w:rFonts w:ascii="Arial" w:hAnsi="Arial" w:cs="Arial"/>
                <w:sz w:val="24"/>
                <w:szCs w:val="24"/>
              </w:rPr>
            </w:pPr>
            <w:r>
              <w:rPr>
                <w:rFonts w:cs="Arial" w:ascii="Arial" w:hAnsi="Arial"/>
                <w:sz w:val="24"/>
                <w:szCs w:val="24"/>
              </w:rPr>
            </w:r>
          </w:p>
          <w:p>
            <w:pPr>
              <w:pStyle w:val="PargrafodaLista1"/>
              <w:spacing w:lineRule="auto" w:line="360" w:before="120" w:after="120"/>
              <w:ind w:left="0" w:hanging="0"/>
              <w:jc w:val="both"/>
              <w:rPr/>
            </w:pPr>
            <w:r>
              <w:rPr>
                <w:rFonts w:cs="Arial" w:ascii="Arial" w:hAnsi="Arial"/>
                <w:sz w:val="24"/>
                <w:szCs w:val="24"/>
              </w:rPr>
              <w:t>37</w:t>
            </w:r>
          </w:p>
        </w:tc>
      </w:tr>
    </w:tbl>
    <w:p>
      <w:pPr>
        <w:pStyle w:val="Normal"/>
        <w:spacing w:lineRule="atLeast" w:line="270" w:before="120" w:after="120"/>
        <w:jc w:val="center"/>
        <w:textAlignment w:val="auto"/>
        <w:rPr>
          <w:rFonts w:ascii="Arial" w:hAnsi="Arial" w:cs="Arial"/>
          <w:sz w:val="24"/>
          <w:szCs w:val="24"/>
        </w:rPr>
      </w:pPr>
      <w:r>
        <w:rPr>
          <w:rFonts w:cs="Arial" w:ascii="Arial" w:hAnsi="Arial"/>
          <w:sz w:val="24"/>
          <w:szCs w:val="24"/>
        </w:rPr>
      </w:r>
    </w:p>
    <w:p>
      <w:pPr>
        <w:pStyle w:val="Ttulodondicedetabelas"/>
        <w:spacing w:lineRule="auto" w:line="360" w:before="120" w:after="120"/>
        <w:jc w:val="center"/>
        <w:rPr>
          <w:rFonts w:ascii="Arial" w:hAnsi="Arial" w:cs="Arial"/>
          <w:sz w:val="24"/>
          <w:szCs w:val="24"/>
        </w:rPr>
      </w:pPr>
      <w:r>
        <w:rPr>
          <w:rFonts w:cs="Arial" w:ascii="Arial" w:hAnsi="Arial"/>
          <w:sz w:val="24"/>
          <w:szCs w:val="24"/>
        </w:rPr>
      </w:r>
    </w:p>
    <w:p>
      <w:pPr>
        <w:pStyle w:val="Ttulodondicedetabelas"/>
        <w:spacing w:lineRule="auto" w:line="360" w:before="120" w:after="120"/>
        <w:jc w:val="center"/>
        <w:rPr>
          <w:rFonts w:ascii="Arial" w:hAnsi="Arial" w:cs="Arial"/>
          <w:sz w:val="24"/>
          <w:szCs w:val="24"/>
        </w:rPr>
      </w:pPr>
      <w:r>
        <w:rPr>
          <w:rFonts w:cs="Arial" w:ascii="Arial" w:hAnsi="Arial"/>
          <w:sz w:val="24"/>
          <w:szCs w:val="24"/>
        </w:rPr>
      </w:r>
    </w:p>
    <w:p>
      <w:pPr>
        <w:pStyle w:val="Normal"/>
        <w:widowControl/>
        <w:suppressAutoHyphens w:val="false"/>
        <w:overflowPunct w:val="false"/>
        <w:textAlignment w:val="auto"/>
        <w:rPr/>
      </w:pPr>
      <w:r>
        <w:rPr/>
      </w:r>
    </w:p>
    <w:p>
      <w:pPr>
        <w:pStyle w:val="Normal"/>
        <w:widowControl/>
        <w:suppressAutoHyphens w:val="false"/>
        <w:overflowPunct w:val="false"/>
        <w:textAlignment w:val="auto"/>
        <w:rPr/>
      </w:pPr>
      <w:r>
        <w:rPr/>
      </w:r>
      <w:r>
        <w:br w:type="page"/>
      </w:r>
    </w:p>
    <w:sdt>
      <w:sdtPr>
        <w:docPartObj>
          <w:docPartGallery w:val="Table of Contents"/>
          <w:docPartUnique w:val="true"/>
        </w:docPartObj>
        <w:id w:val="1180486611"/>
      </w:sdtPr>
      <w:sdtContent>
        <w:p>
          <w:pPr>
            <w:pStyle w:val="TOCHeading"/>
            <w:rPr/>
          </w:pPr>
          <w:r>
            <w:rPr/>
            <w:t>Sumário</w:t>
          </w:r>
        </w:p>
        <w:p>
          <w:pPr>
            <w:pStyle w:val="Sumrio1"/>
            <w:tabs>
              <w:tab w:val="right" w:pos="8494" w:leader="none"/>
            </w:tabs>
            <w:rPr>
              <w:rFonts w:eastAsia="ＭＳ 明朝" w:cs="" w:cstheme="minorBidi" w:eastAsiaTheme="minorEastAsia"/>
              <w:b w:val="false"/>
              <w:b w:val="false"/>
              <w:caps w:val="false"/>
              <w:smallCaps w:val="false"/>
              <w:color w:val="00000A"/>
              <w:sz w:val="24"/>
              <w:szCs w:val="24"/>
              <w:u w:val="none"/>
              <w:lang w:eastAsia="pt-BR"/>
            </w:rPr>
          </w:pPr>
          <w:r>
            <w:fldChar w:fldCharType="begin"/>
          </w:r>
          <w:r>
            <w:instrText> TOC \z \o "1-3" \u \h</w:instrText>
          </w:r>
          <w:r>
            <w:fldChar w:fldCharType="separate"/>
          </w:r>
          <w:hyperlink w:anchor="_Toc434344412">
            <w:r>
              <w:rPr>
                <w:webHidden/>
                <w:rStyle w:val="Vnculodendice"/>
                <w:rFonts w:cs="Arial" w:ascii="Arial" w:hAnsi="Arial"/>
                <w:vanish w:val="false"/>
              </w:rPr>
              <w:t>1 INTRODUÇÃO</w:t>
            </w:r>
            <w:r>
              <w:rPr>
                <w:webHidden/>
              </w:rPr>
              <w:fldChar w:fldCharType="begin"/>
            </w:r>
            <w:r>
              <w:rPr>
                <w:webHidden/>
              </w:rPr>
              <w:instrText>PAGEREF _Toc434344412 \h</w:instrText>
            </w:r>
            <w:r>
              <w:rPr>
                <w:webHidden/>
              </w:rPr>
              <w:fldChar w:fldCharType="separate"/>
            </w:r>
            <w:r>
              <w:rPr>
                <w:rStyle w:val="Vnculodendice"/>
                <w:vanish w:val="false"/>
              </w:rPr>
              <w:tab/>
              <w:t>8</w:t>
            </w:r>
            <w:r>
              <w:rPr>
                <w:webHidden/>
              </w:rPr>
              <w:fldChar w:fldCharType="end"/>
            </w:r>
          </w:hyperlink>
        </w:p>
        <w:p>
          <w:pPr>
            <w:pStyle w:val="Sumrio2"/>
            <w:tabs>
              <w:tab w:val="right" w:pos="8494" w:leader="none"/>
            </w:tabs>
            <w:rPr>
              <w:rFonts w:eastAsia="ＭＳ 明朝" w:cs="" w:cstheme="minorBidi" w:eastAsiaTheme="minorEastAsia"/>
              <w:b w:val="false"/>
              <w:b w:val="false"/>
              <w:caps w:val="false"/>
              <w:smallCaps w:val="false"/>
              <w:color w:val="00000A"/>
              <w:sz w:val="24"/>
              <w:szCs w:val="24"/>
              <w:lang w:eastAsia="pt-BR"/>
            </w:rPr>
          </w:pPr>
          <w:hyperlink w:anchor="_Toc434344413">
            <w:r>
              <w:rPr>
                <w:webHidden/>
              </w:rPr>
              <w:fldChar w:fldCharType="begin"/>
            </w:r>
            <w:r>
              <w:rPr>
                <w:webHidden/>
              </w:rPr>
              <w:instrText>PAGEREF _Toc434344413 \h</w:instrText>
            </w:r>
            <w:r>
              <w:rPr>
                <w:webHidden/>
              </w:rPr>
              <w:fldChar w:fldCharType="separate"/>
            </w:r>
            <w:r>
              <w:rPr>
                <w:webHidden/>
                <w:rStyle w:val="Vnculodendice"/>
                <w:vanish w:val="false"/>
              </w:rPr>
              <w:t>1.1 Caracterização do Estado de Santa Catarina e da regionalização da saúde</w:t>
              <w:tab/>
              <w:t>9</w:t>
            </w:r>
            <w:r>
              <w:rPr>
                <w:webHidden/>
              </w:rPr>
              <w:fldChar w:fldCharType="end"/>
            </w:r>
          </w:hyperlink>
        </w:p>
        <w:p>
          <w:pPr>
            <w:pStyle w:val="Sumrio1"/>
            <w:tabs>
              <w:tab w:val="right" w:pos="8494" w:leader="none"/>
            </w:tabs>
            <w:rPr>
              <w:rFonts w:eastAsia="ＭＳ 明朝" w:cs="" w:cstheme="minorBidi" w:eastAsiaTheme="minorEastAsia"/>
              <w:b w:val="false"/>
              <w:b w:val="false"/>
              <w:caps w:val="false"/>
              <w:smallCaps w:val="false"/>
              <w:color w:val="00000A"/>
              <w:sz w:val="24"/>
              <w:szCs w:val="24"/>
              <w:u w:val="none"/>
              <w:lang w:eastAsia="pt-BR"/>
            </w:rPr>
          </w:pPr>
          <w:hyperlink w:anchor="_Toc434344414">
            <w:r>
              <w:rPr>
                <w:webHidden/>
                <w:rStyle w:val="Vnculodendice"/>
                <w:rFonts w:eastAsia="SimSun" w:cs="Arial" w:ascii="Arial" w:hAnsi="Arial"/>
                <w:vanish w:val="false"/>
                <w:lang w:bidi="hi-IN"/>
              </w:rPr>
              <w:t>2  JUSTIFICATIVA</w:t>
            </w:r>
            <w:r>
              <w:rPr>
                <w:webHidden/>
              </w:rPr>
              <w:fldChar w:fldCharType="begin"/>
            </w:r>
            <w:r>
              <w:rPr>
                <w:webHidden/>
              </w:rPr>
              <w:instrText>PAGEREF _Toc434344414 \h</w:instrText>
            </w:r>
            <w:r>
              <w:rPr>
                <w:webHidden/>
              </w:rPr>
              <w:fldChar w:fldCharType="separate"/>
            </w:r>
            <w:r>
              <w:rPr>
                <w:rStyle w:val="Vnculodendice"/>
                <w:vanish w:val="false"/>
              </w:rPr>
              <w:tab/>
              <w:t>13</w:t>
            </w:r>
            <w:r>
              <w:rPr>
                <w:webHidden/>
              </w:rPr>
              <w:fldChar w:fldCharType="end"/>
            </w:r>
          </w:hyperlink>
        </w:p>
        <w:p>
          <w:pPr>
            <w:pStyle w:val="Sumrio1"/>
            <w:tabs>
              <w:tab w:val="right" w:pos="8494" w:leader="none"/>
            </w:tabs>
            <w:rPr>
              <w:rFonts w:eastAsia="ＭＳ 明朝" w:cs="" w:cstheme="minorBidi" w:eastAsiaTheme="minorEastAsia"/>
              <w:b w:val="false"/>
              <w:b w:val="false"/>
              <w:caps w:val="false"/>
              <w:smallCaps w:val="false"/>
              <w:color w:val="00000A"/>
              <w:sz w:val="24"/>
              <w:szCs w:val="24"/>
              <w:u w:val="none"/>
              <w:lang w:eastAsia="pt-BR"/>
            </w:rPr>
          </w:pPr>
          <w:hyperlink w:anchor="_Toc434344415">
            <w:r>
              <w:rPr>
                <w:webHidden/>
                <w:rStyle w:val="Vnculodendice"/>
                <w:rFonts w:eastAsia="SimSun" w:cs="Arial" w:ascii="Arial" w:hAnsi="Arial"/>
                <w:vanish w:val="false"/>
                <w:lang w:bidi="hi-IN"/>
              </w:rPr>
              <w:t>3 OBJETIVOS</w:t>
            </w:r>
            <w:r>
              <w:rPr>
                <w:webHidden/>
              </w:rPr>
              <w:fldChar w:fldCharType="begin"/>
            </w:r>
            <w:r>
              <w:rPr>
                <w:webHidden/>
              </w:rPr>
              <w:instrText>PAGEREF _Toc434344415 \h</w:instrText>
            </w:r>
            <w:r>
              <w:rPr>
                <w:webHidden/>
              </w:rPr>
              <w:fldChar w:fldCharType="separate"/>
            </w:r>
            <w:r>
              <w:rPr>
                <w:rStyle w:val="Vnculodendice"/>
                <w:vanish w:val="false"/>
              </w:rPr>
              <w:tab/>
              <w:t>16</w:t>
            </w:r>
            <w:r>
              <w:rPr>
                <w:webHidden/>
              </w:rPr>
              <w:fldChar w:fldCharType="end"/>
            </w:r>
          </w:hyperlink>
        </w:p>
        <w:p>
          <w:pPr>
            <w:pStyle w:val="Sumrio2"/>
            <w:tabs>
              <w:tab w:val="right" w:pos="8494" w:leader="none"/>
            </w:tabs>
            <w:rPr>
              <w:rFonts w:eastAsia="ＭＳ 明朝" w:cs="" w:cstheme="minorBidi" w:eastAsiaTheme="minorEastAsia"/>
              <w:b w:val="false"/>
              <w:b w:val="false"/>
              <w:caps w:val="false"/>
              <w:smallCaps w:val="false"/>
              <w:color w:val="00000A"/>
              <w:sz w:val="24"/>
              <w:szCs w:val="24"/>
              <w:lang w:eastAsia="pt-BR"/>
            </w:rPr>
          </w:pPr>
          <w:hyperlink w:anchor="_Toc434344416">
            <w:r>
              <w:rPr>
                <w:webHidden/>
                <w:rStyle w:val="Vnculodendice"/>
                <w:bCs/>
                <w:vanish w:val="false"/>
              </w:rPr>
              <w:t>3.1 Objetivo Geral</w:t>
            </w:r>
            <w:r>
              <w:rPr>
                <w:webHidden/>
              </w:rPr>
              <w:fldChar w:fldCharType="begin"/>
            </w:r>
            <w:r>
              <w:rPr>
                <w:webHidden/>
              </w:rPr>
              <w:instrText>PAGEREF _Toc434344416 \h</w:instrText>
            </w:r>
            <w:r>
              <w:rPr>
                <w:webHidden/>
              </w:rPr>
              <w:fldChar w:fldCharType="separate"/>
            </w:r>
            <w:r>
              <w:rPr>
                <w:rStyle w:val="Vnculodendice"/>
                <w:vanish w:val="false"/>
              </w:rPr>
              <w:tab/>
              <w:t>16</w:t>
            </w:r>
            <w:r>
              <w:rPr>
                <w:webHidden/>
              </w:rPr>
              <w:fldChar w:fldCharType="end"/>
            </w:r>
          </w:hyperlink>
        </w:p>
        <w:p>
          <w:pPr>
            <w:pStyle w:val="Sumrio2"/>
            <w:tabs>
              <w:tab w:val="right" w:pos="8494" w:leader="none"/>
            </w:tabs>
            <w:rPr>
              <w:rFonts w:eastAsia="ＭＳ 明朝" w:cs="" w:cstheme="minorBidi" w:eastAsiaTheme="minorEastAsia"/>
              <w:b w:val="false"/>
              <w:b w:val="false"/>
              <w:caps w:val="false"/>
              <w:smallCaps w:val="false"/>
              <w:color w:val="00000A"/>
              <w:sz w:val="24"/>
              <w:szCs w:val="24"/>
              <w:lang w:eastAsia="pt-BR"/>
            </w:rPr>
          </w:pPr>
          <w:hyperlink w:anchor="_Toc434344417">
            <w:r>
              <w:rPr>
                <w:webHidden/>
                <w:rStyle w:val="Vnculodendice"/>
                <w:bCs/>
                <w:vanish w:val="false"/>
              </w:rPr>
              <w:t>3.2 Objetivos Específicos</w:t>
            </w:r>
            <w:r>
              <w:rPr>
                <w:webHidden/>
              </w:rPr>
              <w:fldChar w:fldCharType="begin"/>
            </w:r>
            <w:r>
              <w:rPr>
                <w:webHidden/>
              </w:rPr>
              <w:instrText>PAGEREF _Toc434344417 \h</w:instrText>
            </w:r>
            <w:r>
              <w:rPr>
                <w:webHidden/>
              </w:rPr>
              <w:fldChar w:fldCharType="separate"/>
            </w:r>
            <w:r>
              <w:rPr>
                <w:rStyle w:val="Vnculodendice"/>
                <w:vanish w:val="false"/>
              </w:rPr>
              <w:tab/>
              <w:t>16</w:t>
            </w:r>
            <w:r>
              <w:rPr>
                <w:webHidden/>
              </w:rPr>
              <w:fldChar w:fldCharType="end"/>
            </w:r>
          </w:hyperlink>
        </w:p>
        <w:p>
          <w:pPr>
            <w:pStyle w:val="Sumrio1"/>
            <w:tabs>
              <w:tab w:val="right" w:pos="8494" w:leader="none"/>
            </w:tabs>
            <w:rPr>
              <w:rFonts w:eastAsia="ＭＳ 明朝" w:cs="" w:cstheme="minorBidi" w:eastAsiaTheme="minorEastAsia"/>
              <w:b w:val="false"/>
              <w:b w:val="false"/>
              <w:caps w:val="false"/>
              <w:smallCaps w:val="false"/>
              <w:color w:val="00000A"/>
              <w:sz w:val="24"/>
              <w:szCs w:val="24"/>
              <w:u w:val="none"/>
              <w:lang w:eastAsia="pt-BR"/>
            </w:rPr>
          </w:pPr>
          <w:hyperlink w:anchor="_Toc434344418">
            <w:r>
              <w:rPr>
                <w:webHidden/>
                <w:rStyle w:val="Vnculodendice"/>
                <w:rFonts w:cs="Arial" w:ascii="Arial" w:hAnsi="Arial"/>
                <w:vanish w:val="false"/>
              </w:rPr>
              <w:t>4 FUNDAMENTAÇÃO LEGAL</w:t>
            </w:r>
            <w:r>
              <w:rPr>
                <w:webHidden/>
              </w:rPr>
              <w:fldChar w:fldCharType="begin"/>
            </w:r>
            <w:r>
              <w:rPr>
                <w:webHidden/>
              </w:rPr>
              <w:instrText>PAGEREF _Toc434344418 \h</w:instrText>
            </w:r>
            <w:r>
              <w:rPr>
                <w:webHidden/>
              </w:rPr>
              <w:fldChar w:fldCharType="separate"/>
            </w:r>
            <w:r>
              <w:rPr>
                <w:rStyle w:val="Vnculodendice"/>
                <w:vanish w:val="false"/>
              </w:rPr>
              <w:tab/>
              <w:t>18</w:t>
            </w:r>
            <w:r>
              <w:rPr>
                <w:webHidden/>
              </w:rPr>
              <w:fldChar w:fldCharType="end"/>
            </w:r>
          </w:hyperlink>
        </w:p>
        <w:p>
          <w:pPr>
            <w:pStyle w:val="Sumrio1"/>
            <w:tabs>
              <w:tab w:val="right" w:pos="8494" w:leader="none"/>
            </w:tabs>
            <w:rPr>
              <w:rFonts w:eastAsia="ＭＳ 明朝" w:cs="" w:cstheme="minorBidi" w:eastAsiaTheme="minorEastAsia"/>
              <w:b w:val="false"/>
              <w:b w:val="false"/>
              <w:caps w:val="false"/>
              <w:smallCaps w:val="false"/>
              <w:color w:val="00000A"/>
              <w:sz w:val="24"/>
              <w:szCs w:val="24"/>
              <w:u w:val="none"/>
              <w:lang w:eastAsia="pt-BR"/>
            </w:rPr>
          </w:pPr>
          <w:hyperlink w:anchor="_Toc434344419">
            <w:r>
              <w:rPr>
                <w:webHidden/>
                <w:rStyle w:val="Vnculodendice"/>
                <w:rFonts w:cs="Arial" w:ascii="Arial" w:hAnsi="Arial"/>
                <w:vanish w:val="false"/>
                <w:shd w:fill="FFFFFF" w:val="clear"/>
              </w:rPr>
              <w:t xml:space="preserve">5 </w:t>
            </w:r>
            <w:r>
              <w:rPr>
                <w:rStyle w:val="Vnculodendice"/>
                <w:rFonts w:cs="Arial" w:ascii="Arial" w:hAnsi="Arial"/>
              </w:rPr>
              <w:t>POPULAÇÃO-ALVO</w:t>
            </w:r>
            <w:r>
              <w:rPr>
                <w:webHidden/>
              </w:rPr>
              <w:fldChar w:fldCharType="begin"/>
            </w:r>
            <w:r>
              <w:rPr>
                <w:webHidden/>
              </w:rPr>
              <w:instrText>PAGEREF _Toc434344419 \h</w:instrText>
            </w:r>
            <w:r>
              <w:rPr>
                <w:webHidden/>
              </w:rPr>
              <w:fldChar w:fldCharType="separate"/>
            </w:r>
            <w:r>
              <w:rPr>
                <w:rStyle w:val="Vnculodendice"/>
                <w:vanish w:val="false"/>
              </w:rPr>
              <w:tab/>
              <w:t>20</w:t>
            </w:r>
            <w:r>
              <w:rPr>
                <w:webHidden/>
              </w:rPr>
              <w:fldChar w:fldCharType="end"/>
            </w:r>
          </w:hyperlink>
        </w:p>
        <w:p>
          <w:pPr>
            <w:pStyle w:val="Sumrio1"/>
            <w:tabs>
              <w:tab w:val="right" w:pos="8494" w:leader="none"/>
            </w:tabs>
            <w:rPr>
              <w:rFonts w:eastAsia="ＭＳ 明朝" w:cs="" w:cstheme="minorBidi" w:eastAsiaTheme="minorEastAsia"/>
              <w:b w:val="false"/>
              <w:b w:val="false"/>
              <w:caps w:val="false"/>
              <w:smallCaps w:val="false"/>
              <w:color w:val="00000A"/>
              <w:sz w:val="24"/>
              <w:szCs w:val="24"/>
              <w:u w:val="none"/>
              <w:lang w:eastAsia="pt-BR"/>
            </w:rPr>
          </w:pPr>
          <w:hyperlink w:anchor="_Toc434344420">
            <w:r>
              <w:rPr>
                <w:webHidden/>
                <w:rStyle w:val="Vnculodendice"/>
                <w:rFonts w:cs="Arial" w:ascii="Arial" w:hAnsi="Arial"/>
                <w:vanish w:val="false"/>
              </w:rPr>
              <w:t>6 SERVIÇOS DE SAÚDE AUDITIVA</w:t>
            </w:r>
            <w:r>
              <w:rPr>
                <w:webHidden/>
              </w:rPr>
              <w:fldChar w:fldCharType="begin"/>
            </w:r>
            <w:r>
              <w:rPr>
                <w:webHidden/>
              </w:rPr>
              <w:instrText>PAGEREF _Toc434344420 \h</w:instrText>
            </w:r>
            <w:r>
              <w:rPr>
                <w:webHidden/>
              </w:rPr>
              <w:fldChar w:fldCharType="separate"/>
            </w:r>
            <w:r>
              <w:rPr>
                <w:rStyle w:val="Vnculodendice"/>
                <w:vanish w:val="false"/>
              </w:rPr>
              <w:tab/>
              <w:t>21</w:t>
            </w:r>
            <w:r>
              <w:rPr>
                <w:webHidden/>
              </w:rPr>
              <w:fldChar w:fldCharType="end"/>
            </w:r>
          </w:hyperlink>
        </w:p>
        <w:p>
          <w:pPr>
            <w:pStyle w:val="Sumrio2"/>
            <w:tabs>
              <w:tab w:val="right" w:pos="8494" w:leader="none"/>
            </w:tabs>
            <w:rPr>
              <w:rFonts w:eastAsia="ＭＳ 明朝" w:cs="" w:cstheme="minorBidi" w:eastAsiaTheme="minorEastAsia"/>
              <w:b w:val="false"/>
              <w:b w:val="false"/>
              <w:caps w:val="false"/>
              <w:smallCaps w:val="false"/>
              <w:color w:val="00000A"/>
              <w:sz w:val="24"/>
              <w:szCs w:val="24"/>
              <w:lang w:eastAsia="pt-BR"/>
            </w:rPr>
          </w:pPr>
          <w:hyperlink w:anchor="_Toc434344421">
            <w:r>
              <w:rPr>
                <w:webHidden/>
                <w:rStyle w:val="Vnculodendice"/>
                <w:bCs/>
                <w:vanish w:val="false"/>
              </w:rPr>
              <w:t>6.1 Serviço de Triagem Auditiva Neonatal (TAN)</w:t>
            </w:r>
            <w:r>
              <w:rPr>
                <w:webHidden/>
              </w:rPr>
              <w:fldChar w:fldCharType="begin"/>
            </w:r>
            <w:r>
              <w:rPr>
                <w:webHidden/>
              </w:rPr>
              <w:instrText>PAGEREF _Toc434344421 \h</w:instrText>
            </w:r>
            <w:r>
              <w:rPr>
                <w:webHidden/>
              </w:rPr>
              <w:fldChar w:fldCharType="separate"/>
            </w:r>
            <w:r>
              <w:rPr>
                <w:rStyle w:val="Vnculodendice"/>
                <w:vanish w:val="false"/>
              </w:rPr>
              <w:tab/>
              <w:t>21</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22">
            <w:r>
              <w:rPr>
                <w:webHidden/>
                <w:rStyle w:val="Vnculodendice"/>
                <w:b/>
                <w:bCs/>
                <w:vanish w:val="false"/>
              </w:rPr>
              <w:t>6.1.1 Fluxograma da Triagem Auditiva Neonatal</w:t>
            </w:r>
            <w:r>
              <w:rPr>
                <w:webHidden/>
              </w:rPr>
              <w:fldChar w:fldCharType="begin"/>
            </w:r>
            <w:r>
              <w:rPr>
                <w:webHidden/>
              </w:rPr>
              <w:instrText>PAGEREF _Toc434344422 \h</w:instrText>
            </w:r>
            <w:r>
              <w:rPr>
                <w:webHidden/>
              </w:rPr>
              <w:fldChar w:fldCharType="separate"/>
            </w:r>
            <w:r>
              <w:rPr>
                <w:rStyle w:val="Vnculodendice"/>
                <w:vanish w:val="false"/>
              </w:rPr>
              <w:tab/>
              <w:t>23</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23">
            <w:r>
              <w:rPr>
                <w:webHidden/>
                <w:rStyle w:val="Vnculodendice"/>
                <w:b/>
                <w:bCs/>
                <w:vanish w:val="false"/>
              </w:rPr>
              <w:t>6.1.2 Atribuições e competências dos órgãos que compõem o Serviço de Triagem Auditiva Neonatal</w:t>
            </w:r>
            <w:r>
              <w:rPr>
                <w:webHidden/>
              </w:rPr>
              <w:fldChar w:fldCharType="begin"/>
            </w:r>
            <w:r>
              <w:rPr>
                <w:webHidden/>
              </w:rPr>
              <w:instrText>PAGEREF _Toc434344423 \h</w:instrText>
            </w:r>
            <w:r>
              <w:rPr>
                <w:webHidden/>
              </w:rPr>
              <w:fldChar w:fldCharType="separate"/>
            </w:r>
            <w:r>
              <w:rPr>
                <w:rStyle w:val="Vnculodendice"/>
                <w:vanish w:val="false"/>
              </w:rPr>
              <w:tab/>
              <w:t>26</w:t>
            </w:r>
            <w:r>
              <w:rPr>
                <w:webHidden/>
              </w:rPr>
              <w:fldChar w:fldCharType="end"/>
            </w:r>
          </w:hyperlink>
        </w:p>
        <w:p>
          <w:pPr>
            <w:pStyle w:val="Sumrio2"/>
            <w:tabs>
              <w:tab w:val="right" w:pos="8494" w:leader="none"/>
            </w:tabs>
            <w:rPr>
              <w:rFonts w:eastAsia="ＭＳ 明朝" w:cs="" w:cstheme="minorBidi" w:eastAsiaTheme="minorEastAsia"/>
              <w:b w:val="false"/>
              <w:b w:val="false"/>
              <w:caps w:val="false"/>
              <w:smallCaps w:val="false"/>
              <w:color w:val="00000A"/>
              <w:sz w:val="24"/>
              <w:szCs w:val="24"/>
              <w:lang w:eastAsia="pt-BR"/>
            </w:rPr>
          </w:pPr>
          <w:hyperlink w:anchor="_Toc434344424">
            <w:r>
              <w:rPr>
                <w:webHidden/>
                <w:rStyle w:val="Vnculodendice"/>
                <w:rFonts w:eastAsia="SimSun"/>
                <w:bCs/>
                <w:vanish w:val="false"/>
                <w:lang w:bidi="hi-IN"/>
              </w:rPr>
              <w:t xml:space="preserve">6.2 </w:t>
            </w:r>
            <w:r>
              <w:rPr>
                <w:rStyle w:val="Vnculodendice"/>
                <w:bCs/>
              </w:rPr>
              <w:t>Serviço Ambulatorial de Saúde Auditiva (SASA)</w:t>
            </w:r>
            <w:r>
              <w:rPr>
                <w:webHidden/>
              </w:rPr>
              <w:fldChar w:fldCharType="begin"/>
            </w:r>
            <w:r>
              <w:rPr>
                <w:webHidden/>
              </w:rPr>
              <w:instrText>PAGEREF _Toc434344424 \h</w:instrText>
            </w:r>
            <w:r>
              <w:rPr>
                <w:webHidden/>
              </w:rPr>
              <w:fldChar w:fldCharType="separate"/>
            </w:r>
            <w:r>
              <w:rPr>
                <w:rStyle w:val="Vnculodendice"/>
                <w:vanish w:val="false"/>
              </w:rPr>
              <w:tab/>
              <w:t>30</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25">
            <w:r>
              <w:rPr>
                <w:webHidden/>
                <w:rStyle w:val="Vnculodendice"/>
                <w:b/>
                <w:bCs/>
                <w:vanish w:val="false"/>
              </w:rPr>
              <w:t>6.2.1 Normas de Funcionamento</w:t>
            </w:r>
            <w:r>
              <w:rPr>
                <w:webHidden/>
              </w:rPr>
              <w:fldChar w:fldCharType="begin"/>
            </w:r>
            <w:r>
              <w:rPr>
                <w:webHidden/>
              </w:rPr>
              <w:instrText>PAGEREF _Toc434344425 \h</w:instrText>
            </w:r>
            <w:r>
              <w:rPr>
                <w:webHidden/>
              </w:rPr>
              <w:fldChar w:fldCharType="separate"/>
            </w:r>
            <w:r>
              <w:rPr>
                <w:rStyle w:val="Vnculodendice"/>
                <w:vanish w:val="false"/>
              </w:rPr>
              <w:tab/>
              <w:t>30</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26">
            <w:r>
              <w:rPr>
                <w:webHidden/>
                <w:rStyle w:val="Vnculodendice"/>
                <w:b/>
                <w:vanish w:val="false"/>
              </w:rPr>
              <w:t>6.2.2 Diretrizes para o fornecimento de Aparelho de Amplificação Sonora Individual (AASI)</w:t>
            </w:r>
            <w:r>
              <w:rPr>
                <w:webHidden/>
              </w:rPr>
              <w:fldChar w:fldCharType="begin"/>
            </w:r>
            <w:r>
              <w:rPr>
                <w:webHidden/>
              </w:rPr>
              <w:instrText>PAGEREF _Toc434344426 \h</w:instrText>
            </w:r>
            <w:r>
              <w:rPr>
                <w:webHidden/>
              </w:rPr>
              <w:fldChar w:fldCharType="separate"/>
            </w:r>
            <w:r>
              <w:rPr>
                <w:rStyle w:val="Vnculodendice"/>
                <w:vanish w:val="false"/>
              </w:rPr>
              <w:tab/>
              <w:t>31</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27">
            <w:r>
              <w:rPr>
                <w:webHidden/>
                <w:rStyle w:val="Vnculodendice"/>
                <w:b/>
                <w:vanish w:val="false"/>
              </w:rPr>
              <w:t>6.2.3 Critérios de indicação do uso do AASI</w:t>
            </w:r>
            <w:r>
              <w:rPr>
                <w:webHidden/>
              </w:rPr>
              <w:fldChar w:fldCharType="begin"/>
            </w:r>
            <w:r>
              <w:rPr>
                <w:webHidden/>
              </w:rPr>
              <w:instrText>PAGEREF _Toc434344427 \h</w:instrText>
            </w:r>
            <w:r>
              <w:rPr>
                <w:webHidden/>
              </w:rPr>
              <w:fldChar w:fldCharType="separate"/>
            </w:r>
            <w:r>
              <w:rPr>
                <w:rStyle w:val="Vnculodendice"/>
                <w:vanish w:val="false"/>
              </w:rPr>
              <w:tab/>
              <w:t>31</w:t>
            </w:r>
            <w:r>
              <w:rPr>
                <w:webHidden/>
              </w:rPr>
              <w:fldChar w:fldCharType="end"/>
            </w:r>
          </w:hyperlink>
        </w:p>
        <w:p>
          <w:pPr>
            <w:pStyle w:val="Sumrio2"/>
            <w:tabs>
              <w:tab w:val="right" w:pos="8494" w:leader="none"/>
            </w:tabs>
            <w:rPr>
              <w:rFonts w:eastAsia="ＭＳ 明朝" w:cs="" w:cstheme="minorBidi" w:eastAsiaTheme="minorEastAsia"/>
              <w:b w:val="false"/>
              <w:b w:val="false"/>
              <w:caps w:val="false"/>
              <w:smallCaps w:val="false"/>
              <w:color w:val="00000A"/>
              <w:sz w:val="24"/>
              <w:szCs w:val="24"/>
              <w:lang w:eastAsia="pt-BR"/>
            </w:rPr>
          </w:pPr>
          <w:hyperlink w:anchor="_Toc434344428">
            <w:r>
              <w:rPr>
                <w:webHidden/>
              </w:rPr>
              <w:fldChar w:fldCharType="begin"/>
            </w:r>
            <w:r>
              <w:rPr>
                <w:webHidden/>
              </w:rPr>
              <w:instrText>PAGEREF _Toc434344428 \h</w:instrText>
            </w:r>
            <w:r>
              <w:rPr>
                <w:webHidden/>
              </w:rPr>
              <w:fldChar w:fldCharType="separate"/>
            </w:r>
            <w:r>
              <w:rPr>
                <w:webHidden/>
                <w:rStyle w:val="Vnculodendice"/>
                <w:vanish w:val="false"/>
              </w:rPr>
              <w:t>6.2.4 Critérios para avaliação diagnóstica</w:t>
              <w:tab/>
              <w:t>33</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29">
            <w:r>
              <w:rPr>
                <w:webHidden/>
                <w:rStyle w:val="Vnculodendice"/>
                <w:b/>
                <w:bCs/>
                <w:vanish w:val="false"/>
              </w:rPr>
              <w:t>6.2.5 Critérios para Seleção e Adaptação de AASI</w:t>
            </w:r>
            <w:r>
              <w:rPr>
                <w:webHidden/>
              </w:rPr>
              <w:fldChar w:fldCharType="begin"/>
            </w:r>
            <w:r>
              <w:rPr>
                <w:webHidden/>
              </w:rPr>
              <w:instrText>PAGEREF _Toc434344429 \h</w:instrText>
            </w:r>
            <w:r>
              <w:rPr>
                <w:webHidden/>
              </w:rPr>
              <w:fldChar w:fldCharType="separate"/>
            </w:r>
            <w:r>
              <w:rPr>
                <w:rStyle w:val="Vnculodendice"/>
                <w:vanish w:val="false"/>
              </w:rPr>
              <w:tab/>
              <w:t>35</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30">
            <w:r>
              <w:rPr>
                <w:webHidden/>
                <w:rStyle w:val="Vnculodendice"/>
                <w:b/>
                <w:bCs/>
                <w:vanish w:val="false"/>
              </w:rPr>
              <w:t>6.2.6 Acompanhamento dos usuários de AASI</w:t>
            </w:r>
            <w:r>
              <w:rPr>
                <w:webHidden/>
              </w:rPr>
              <w:fldChar w:fldCharType="begin"/>
            </w:r>
            <w:r>
              <w:rPr>
                <w:webHidden/>
              </w:rPr>
              <w:instrText>PAGEREF _Toc434344430 \h</w:instrText>
            </w:r>
            <w:r>
              <w:rPr>
                <w:webHidden/>
              </w:rPr>
              <w:fldChar w:fldCharType="separate"/>
            </w:r>
            <w:r>
              <w:rPr>
                <w:rStyle w:val="Vnculodendice"/>
                <w:vanish w:val="false"/>
              </w:rPr>
              <w:tab/>
              <w:t>39</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31">
            <w:r>
              <w:rPr>
                <w:webHidden/>
                <w:rStyle w:val="Vnculodendice"/>
                <w:rFonts w:eastAsia="SimSun"/>
                <w:b/>
                <w:bCs/>
                <w:vanish w:val="false"/>
                <w:lang w:bidi="hi-IN"/>
              </w:rPr>
              <w:t xml:space="preserve">6.2.7 </w:t>
            </w:r>
            <w:r>
              <w:rPr>
                <w:rStyle w:val="Vnculodendice"/>
                <w:b/>
                <w:bCs/>
              </w:rPr>
              <w:t>Reposição de AASI</w:t>
            </w:r>
            <w:r>
              <w:rPr>
                <w:webHidden/>
              </w:rPr>
              <w:fldChar w:fldCharType="begin"/>
            </w:r>
            <w:r>
              <w:rPr>
                <w:webHidden/>
              </w:rPr>
              <w:instrText>PAGEREF _Toc434344431 \h</w:instrText>
            </w:r>
            <w:r>
              <w:rPr>
                <w:webHidden/>
              </w:rPr>
              <w:fldChar w:fldCharType="separate"/>
            </w:r>
            <w:r>
              <w:rPr>
                <w:rStyle w:val="Vnculodendice"/>
                <w:vanish w:val="false"/>
              </w:rPr>
              <w:tab/>
              <w:t>41</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32">
            <w:r>
              <w:rPr>
                <w:webHidden/>
                <w:rStyle w:val="Vnculodendice"/>
                <w:rFonts w:eastAsia="SimSun"/>
                <w:b/>
                <w:bCs/>
                <w:vanish w:val="false"/>
                <w:lang w:bidi="hi-IN"/>
              </w:rPr>
              <w:t xml:space="preserve">6.2.8 </w:t>
            </w:r>
            <w:r>
              <w:rPr>
                <w:rStyle w:val="Vnculodendice"/>
                <w:b/>
                <w:bCs/>
              </w:rPr>
              <w:t>Terapia Fonoaudiológica</w:t>
            </w:r>
            <w:r>
              <w:rPr>
                <w:webHidden/>
              </w:rPr>
              <w:fldChar w:fldCharType="begin"/>
            </w:r>
            <w:r>
              <w:rPr>
                <w:webHidden/>
              </w:rPr>
              <w:instrText>PAGEREF _Toc434344432 \h</w:instrText>
            </w:r>
            <w:r>
              <w:rPr>
                <w:webHidden/>
              </w:rPr>
              <w:fldChar w:fldCharType="separate"/>
            </w:r>
            <w:r>
              <w:rPr>
                <w:rStyle w:val="Vnculodendice"/>
                <w:vanish w:val="false"/>
              </w:rPr>
              <w:tab/>
              <w:t>42</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33">
            <w:r>
              <w:rPr>
                <w:webHidden/>
                <w:rStyle w:val="Vnculodendice"/>
                <w:b/>
                <w:bCs/>
                <w:vanish w:val="false"/>
              </w:rPr>
              <w:t>6.2.9 Sistema FM</w:t>
            </w:r>
            <w:r>
              <w:rPr>
                <w:webHidden/>
              </w:rPr>
              <w:fldChar w:fldCharType="begin"/>
            </w:r>
            <w:r>
              <w:rPr>
                <w:webHidden/>
              </w:rPr>
              <w:instrText>PAGEREF _Toc434344433 \h</w:instrText>
            </w:r>
            <w:r>
              <w:rPr>
                <w:webHidden/>
              </w:rPr>
              <w:fldChar w:fldCharType="separate"/>
            </w:r>
            <w:r>
              <w:rPr>
                <w:rStyle w:val="Vnculodendice"/>
                <w:vanish w:val="false"/>
              </w:rPr>
              <w:tab/>
              <w:t>43</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34">
            <w:r>
              <w:rPr>
                <w:webHidden/>
                <w:rStyle w:val="Vnculodendice"/>
                <w:rFonts w:eastAsia="SimSun"/>
                <w:b/>
                <w:bCs/>
                <w:vanish w:val="false"/>
                <w:lang w:bidi="hi-IN"/>
              </w:rPr>
              <w:t xml:space="preserve">6.2.10 </w:t>
            </w:r>
            <w:r>
              <w:rPr>
                <w:rStyle w:val="Vnculodendice"/>
                <w:b/>
                <w:bCs/>
              </w:rPr>
              <w:t>Fluxo do Serviço Ambulatorial de Saúde Auditiva</w:t>
            </w:r>
            <w:r>
              <w:rPr>
                <w:webHidden/>
              </w:rPr>
              <w:fldChar w:fldCharType="begin"/>
            </w:r>
            <w:r>
              <w:rPr>
                <w:webHidden/>
              </w:rPr>
              <w:instrText>PAGEREF _Toc434344434 \h</w:instrText>
            </w:r>
            <w:r>
              <w:rPr>
                <w:webHidden/>
              </w:rPr>
              <w:fldChar w:fldCharType="separate"/>
            </w:r>
            <w:r>
              <w:rPr>
                <w:rStyle w:val="Vnculodendice"/>
                <w:vanish w:val="false"/>
              </w:rPr>
              <w:tab/>
              <w:t>45</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35">
            <w:r>
              <w:rPr>
                <w:webHidden/>
                <w:rStyle w:val="Vnculodendice"/>
                <w:b/>
                <w:bCs/>
                <w:vanish w:val="false"/>
              </w:rPr>
              <w:t>6.2.11 Atribuições e competências dos órgãos que compõem o Serviço Ambulatorial de Saúde Auditiva</w:t>
            </w:r>
            <w:r>
              <w:rPr>
                <w:webHidden/>
              </w:rPr>
              <w:fldChar w:fldCharType="begin"/>
            </w:r>
            <w:r>
              <w:rPr>
                <w:webHidden/>
              </w:rPr>
              <w:instrText>PAGEREF _Toc434344435 \h</w:instrText>
            </w:r>
            <w:r>
              <w:rPr>
                <w:webHidden/>
              </w:rPr>
              <w:fldChar w:fldCharType="separate"/>
            </w:r>
            <w:r>
              <w:rPr>
                <w:rStyle w:val="Vnculodendice"/>
                <w:vanish w:val="false"/>
              </w:rPr>
              <w:tab/>
              <w:t>48</w:t>
            </w:r>
            <w:r>
              <w:rPr>
                <w:webHidden/>
              </w:rPr>
              <w:fldChar w:fldCharType="end"/>
            </w:r>
          </w:hyperlink>
        </w:p>
        <w:p>
          <w:pPr>
            <w:pStyle w:val="Sumrio2"/>
            <w:tabs>
              <w:tab w:val="right" w:pos="8494" w:leader="none"/>
            </w:tabs>
            <w:rPr>
              <w:rFonts w:eastAsia="ＭＳ 明朝" w:cs="" w:cstheme="minorBidi" w:eastAsiaTheme="minorEastAsia"/>
              <w:b w:val="false"/>
              <w:b w:val="false"/>
              <w:caps w:val="false"/>
              <w:smallCaps w:val="false"/>
              <w:color w:val="00000A"/>
              <w:sz w:val="24"/>
              <w:szCs w:val="24"/>
              <w:lang w:eastAsia="pt-BR"/>
            </w:rPr>
          </w:pPr>
          <w:hyperlink w:anchor="_Toc434344436">
            <w:r>
              <w:rPr>
                <w:webHidden/>
                <w:rStyle w:val="Vnculodendice"/>
                <w:bCs/>
                <w:vanish w:val="false"/>
              </w:rPr>
              <w:t>6.3 Serviço Hospitalar de Saúde Auditiva (SHSA)</w:t>
            </w:r>
            <w:r>
              <w:rPr>
                <w:webHidden/>
              </w:rPr>
              <w:fldChar w:fldCharType="begin"/>
            </w:r>
            <w:r>
              <w:rPr>
                <w:webHidden/>
              </w:rPr>
              <w:instrText>PAGEREF _Toc434344436 \h</w:instrText>
            </w:r>
            <w:r>
              <w:rPr>
                <w:webHidden/>
              </w:rPr>
              <w:fldChar w:fldCharType="separate"/>
            </w:r>
            <w:r>
              <w:rPr>
                <w:rStyle w:val="Vnculodendice"/>
                <w:vanish w:val="false"/>
              </w:rPr>
              <w:tab/>
              <w:t>54</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37">
            <w:r>
              <w:rPr>
                <w:webHidden/>
                <w:rStyle w:val="Vnculodendice"/>
                <w:b/>
                <w:bCs/>
                <w:vanish w:val="false"/>
              </w:rPr>
              <w:t>6.3.1 Fluxo do Serviço Hospitalar de Saúde Auditiva</w:t>
            </w:r>
            <w:r>
              <w:rPr>
                <w:webHidden/>
              </w:rPr>
              <w:fldChar w:fldCharType="begin"/>
            </w:r>
            <w:r>
              <w:rPr>
                <w:webHidden/>
              </w:rPr>
              <w:instrText>PAGEREF _Toc434344437 \h</w:instrText>
            </w:r>
            <w:r>
              <w:rPr>
                <w:webHidden/>
              </w:rPr>
              <w:fldChar w:fldCharType="separate"/>
            </w:r>
            <w:r>
              <w:rPr>
                <w:rStyle w:val="Vnculodendice"/>
                <w:vanish w:val="false"/>
              </w:rPr>
              <w:tab/>
              <w:t>54</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38">
            <w:r>
              <w:rPr>
                <w:webHidden/>
                <w:rStyle w:val="Vnculodendice"/>
                <w:b/>
                <w:bCs/>
                <w:vanish w:val="false"/>
              </w:rPr>
              <w:t>6.3.2 Atribuições e competências dos órgãos que compõem o Serviço Hospitalar de Saúde Auditiva</w:t>
            </w:r>
            <w:r>
              <w:rPr>
                <w:webHidden/>
              </w:rPr>
              <w:fldChar w:fldCharType="begin"/>
            </w:r>
            <w:r>
              <w:rPr>
                <w:webHidden/>
              </w:rPr>
              <w:instrText>PAGEREF _Toc434344438 \h</w:instrText>
            </w:r>
            <w:r>
              <w:rPr>
                <w:webHidden/>
              </w:rPr>
              <w:fldChar w:fldCharType="separate"/>
            </w:r>
            <w:r>
              <w:rPr>
                <w:rStyle w:val="Vnculodendice"/>
                <w:vanish w:val="false"/>
              </w:rPr>
              <w:tab/>
              <w:t>56</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39">
            <w:r>
              <w:rPr>
                <w:webHidden/>
                <w:rStyle w:val="Vnculodendice"/>
                <w:b/>
                <w:bCs/>
                <w:vanish w:val="false"/>
              </w:rPr>
              <w:t>6.3.3 Critérios de indicação e contraindicação para o Implante Coclear</w:t>
            </w:r>
            <w:r>
              <w:rPr>
                <w:webHidden/>
              </w:rPr>
              <w:fldChar w:fldCharType="begin"/>
            </w:r>
            <w:r>
              <w:rPr>
                <w:webHidden/>
              </w:rPr>
              <w:instrText>PAGEREF _Toc434344439 \h</w:instrText>
            </w:r>
            <w:r>
              <w:rPr>
                <w:webHidden/>
              </w:rPr>
              <w:fldChar w:fldCharType="separate"/>
            </w:r>
            <w:r>
              <w:rPr>
                <w:rStyle w:val="Vnculodendice"/>
                <w:vanish w:val="false"/>
              </w:rPr>
              <w:tab/>
              <w:t>58</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40">
            <w:r>
              <w:rPr>
                <w:webHidden/>
                <w:rStyle w:val="Vnculodendice"/>
                <w:b/>
                <w:bCs/>
                <w:vanish w:val="false"/>
              </w:rPr>
              <w:t>6.3.4 Critérios de indicação e contraindicação da prótese auditiva ancorada no osso</w:t>
            </w:r>
            <w:r>
              <w:rPr>
                <w:webHidden/>
              </w:rPr>
              <w:fldChar w:fldCharType="begin"/>
            </w:r>
            <w:r>
              <w:rPr>
                <w:webHidden/>
              </w:rPr>
              <w:instrText>PAGEREF _Toc434344440 \h</w:instrText>
            </w:r>
            <w:r>
              <w:rPr>
                <w:webHidden/>
              </w:rPr>
              <w:fldChar w:fldCharType="separate"/>
            </w:r>
            <w:r>
              <w:rPr>
                <w:rStyle w:val="Vnculodendice"/>
                <w:vanish w:val="false"/>
              </w:rPr>
              <w:tab/>
              <w:t>67</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41">
            <w:r>
              <w:rPr>
                <w:webHidden/>
                <w:rStyle w:val="Vnculodendice"/>
                <w:b/>
                <w:bCs/>
                <w:vanish w:val="false"/>
              </w:rPr>
              <w:t>6.3.5 Critérios para agendamento das cirurgias de Implante Coclear</w:t>
            </w:r>
            <w:r>
              <w:rPr>
                <w:webHidden/>
              </w:rPr>
              <w:fldChar w:fldCharType="begin"/>
            </w:r>
            <w:r>
              <w:rPr>
                <w:webHidden/>
              </w:rPr>
              <w:instrText>PAGEREF _Toc434344441 \h</w:instrText>
            </w:r>
            <w:r>
              <w:rPr>
                <w:webHidden/>
              </w:rPr>
              <w:fldChar w:fldCharType="separate"/>
            </w:r>
            <w:r>
              <w:rPr>
                <w:rStyle w:val="Vnculodendice"/>
                <w:vanish w:val="false"/>
              </w:rPr>
              <w:tab/>
              <w:t>69</w:t>
            </w:r>
            <w:r>
              <w:rPr>
                <w:webHidden/>
              </w:rPr>
              <w:fldChar w:fldCharType="end"/>
            </w:r>
          </w:hyperlink>
        </w:p>
        <w:p>
          <w:pPr>
            <w:pStyle w:val="Sumrio3"/>
            <w:tabs>
              <w:tab w:val="right" w:pos="8494" w:leader="none"/>
            </w:tabs>
            <w:rPr>
              <w:rFonts w:eastAsia="ＭＳ 明朝" w:cs="" w:cstheme="minorBidi" w:eastAsiaTheme="minorEastAsia"/>
              <w:caps w:val="false"/>
              <w:smallCaps w:val="false"/>
              <w:color w:val="00000A"/>
              <w:sz w:val="24"/>
              <w:szCs w:val="24"/>
              <w:lang w:eastAsia="pt-BR"/>
            </w:rPr>
          </w:pPr>
          <w:hyperlink w:anchor="_Toc434344442">
            <w:r>
              <w:rPr>
                <w:webHidden/>
                <w:rStyle w:val="Vnculodendice"/>
                <w:b/>
                <w:bCs/>
                <w:vanish w:val="false"/>
              </w:rPr>
              <w:t>6.3.6 Terapia fonoaudiológica</w:t>
            </w:r>
            <w:r>
              <w:rPr>
                <w:webHidden/>
              </w:rPr>
              <w:fldChar w:fldCharType="begin"/>
            </w:r>
            <w:r>
              <w:rPr>
                <w:webHidden/>
              </w:rPr>
              <w:instrText>PAGEREF _Toc434344442 \h</w:instrText>
            </w:r>
            <w:r>
              <w:rPr>
                <w:webHidden/>
              </w:rPr>
              <w:fldChar w:fldCharType="separate"/>
            </w:r>
            <w:r>
              <w:rPr>
                <w:rStyle w:val="Vnculodendice"/>
                <w:vanish w:val="false"/>
              </w:rPr>
              <w:tab/>
              <w:t>69</w:t>
            </w:r>
            <w:r>
              <w:rPr>
                <w:webHidden/>
              </w:rPr>
              <w:fldChar w:fldCharType="end"/>
            </w:r>
          </w:hyperlink>
        </w:p>
        <w:p>
          <w:pPr>
            <w:pStyle w:val="Sumrio1"/>
            <w:tabs>
              <w:tab w:val="right" w:pos="8494" w:leader="none"/>
            </w:tabs>
            <w:rPr>
              <w:rFonts w:eastAsia="ＭＳ 明朝" w:cs="" w:cstheme="minorBidi" w:eastAsiaTheme="minorEastAsia"/>
              <w:b w:val="false"/>
              <w:b w:val="false"/>
              <w:caps w:val="false"/>
              <w:smallCaps w:val="false"/>
              <w:color w:val="00000A"/>
              <w:sz w:val="24"/>
              <w:szCs w:val="24"/>
              <w:u w:val="none"/>
              <w:lang w:eastAsia="pt-BR"/>
            </w:rPr>
          </w:pPr>
          <w:hyperlink w:anchor="_Toc434344443">
            <w:r>
              <w:rPr>
                <w:webHidden/>
                <w:rStyle w:val="Vnculodendice"/>
                <w:rFonts w:cs="Arial" w:ascii="Arial" w:hAnsi="Arial"/>
                <w:vanish w:val="false"/>
              </w:rPr>
              <w:t>REFERÊNCIAS BIBLIOGRÁFICAS</w:t>
            </w:r>
            <w:r>
              <w:rPr>
                <w:webHidden/>
              </w:rPr>
              <w:fldChar w:fldCharType="begin"/>
            </w:r>
            <w:r>
              <w:rPr>
                <w:webHidden/>
              </w:rPr>
              <w:instrText>PAGEREF _Toc434344443 \h</w:instrText>
            </w:r>
            <w:r>
              <w:rPr>
                <w:webHidden/>
              </w:rPr>
              <w:fldChar w:fldCharType="separate"/>
            </w:r>
            <w:r>
              <w:rPr>
                <w:rStyle w:val="Vnculodendice"/>
                <w:vanish w:val="false"/>
              </w:rPr>
              <w:tab/>
              <w:t>71</w:t>
            </w:r>
            <w:r>
              <w:rPr>
                <w:webHidden/>
              </w:rPr>
              <w:fldChar w:fldCharType="end"/>
            </w:r>
          </w:hyperlink>
        </w:p>
        <w:p>
          <w:pPr>
            <w:pStyle w:val="Normal"/>
            <w:rPr/>
          </w:pPr>
          <w:r>
            <w:rPr/>
          </w:r>
          <w:r>
            <w:fldChar w:fldCharType="end"/>
          </w:r>
        </w:p>
      </w:sdtContent>
    </w:sdt>
    <w:p>
      <w:pPr>
        <w:pStyle w:val="Normal"/>
        <w:widowControl/>
        <w:suppressAutoHyphens w:val="false"/>
        <w:overflowPunct w:val="false"/>
        <w:textAlignment w:val="auto"/>
        <w:rPr/>
      </w:pPr>
      <w:r>
        <w:rPr/>
      </w:r>
    </w:p>
    <w:p>
      <w:pPr>
        <w:pStyle w:val="Normal"/>
        <w:widowControl/>
        <w:suppressAutoHyphens w:val="false"/>
        <w:overflowPunct w:val="false"/>
        <w:textAlignment w:val="auto"/>
        <w:rPr/>
      </w:pPr>
      <w:r>
        <w:rPr/>
      </w:r>
    </w:p>
    <w:p>
      <w:pPr>
        <w:pStyle w:val="Normal"/>
        <w:spacing w:lineRule="auto" w:line="360" w:before="120" w:after="120"/>
        <w:rPr/>
      </w:pPr>
      <w:r>
        <w:rPr/>
      </w:r>
    </w:p>
    <w:p>
      <w:pPr>
        <w:pStyle w:val="Ttulo1"/>
        <w:numPr>
          <w:ilvl w:val="0"/>
          <w:numId w:val="3"/>
        </w:numPr>
        <w:rPr>
          <w:rStyle w:val="Forte1"/>
          <w:rFonts w:ascii="Arial" w:hAnsi="Arial" w:cs="Arial"/>
          <w:bCs w:val="false"/>
          <w:sz w:val="24"/>
          <w:szCs w:val="24"/>
        </w:rPr>
      </w:pPr>
      <w:bookmarkStart w:id="5" w:name="_Toc434344412"/>
      <w:bookmarkStart w:id="6" w:name="_Toc434148330"/>
      <w:bookmarkEnd w:id="5"/>
      <w:bookmarkEnd w:id="6"/>
      <w:r>
        <w:rPr>
          <w:rStyle w:val="Forte1"/>
          <w:rFonts w:cs="Arial" w:ascii="Arial" w:hAnsi="Arial"/>
          <w:bCs w:val="false"/>
          <w:sz w:val="24"/>
          <w:szCs w:val="24"/>
        </w:rPr>
        <w:t>1 INTRODUÇÃO</w:t>
      </w:r>
    </w:p>
    <w:p>
      <w:pPr>
        <w:pStyle w:val="Ttulo1"/>
        <w:numPr>
          <w:ilvl w:val="0"/>
          <w:numId w:val="3"/>
        </w:numPr>
        <w:rPr>
          <w:rFonts w:ascii="Arial" w:hAnsi="Arial" w:cs="Arial"/>
          <w:b/>
          <w:b/>
          <w:sz w:val="24"/>
          <w:szCs w:val="24"/>
        </w:rPr>
      </w:pPr>
      <w:r>
        <w:rPr>
          <w:rFonts w:cs="Arial" w:ascii="Arial" w:hAnsi="Arial"/>
          <w:b/>
          <w:sz w:val="24"/>
          <w:szCs w:val="24"/>
        </w:rPr>
      </w:r>
    </w:p>
    <w:p>
      <w:pPr>
        <w:pStyle w:val="Normal"/>
        <w:spacing w:lineRule="auto" w:line="360" w:before="120" w:after="120"/>
        <w:ind w:firstLine="567"/>
        <w:jc w:val="both"/>
        <w:rPr>
          <w:rFonts w:ascii="Arial" w:hAnsi="Arial" w:eastAsia="SimSun" w:cs="Arial"/>
          <w:sz w:val="24"/>
          <w:szCs w:val="24"/>
          <w:lang w:bidi="hi-IN"/>
        </w:rPr>
      </w:pPr>
      <w:r>
        <w:rPr>
          <w:rFonts w:cs="Arial" w:ascii="Arial" w:hAnsi="Arial"/>
          <w:sz w:val="24"/>
          <w:szCs w:val="24"/>
        </w:rPr>
        <w:t>A Secretaria de Estado da Saúde de Santa Catarina, por meio da Área Técnica da Saúde da Pessoa com Deficiência, da Superintendência de Serviços Especializados e Regulação, apresenta as Diretrizes de Atenção à Saúde Auditiva na Rede de Cuidados à Saúde da Pessoa com Deficiência em Santa Catarina, as quais, além de requisito legal, representam a intenção política desta gestão, com base nas legislações atualmente vigentes.</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Estas Diretrizes fazem parte d</w:t>
      </w:r>
      <w:r>
        <w:rPr>
          <w:rFonts w:eastAsia="SimSun" w:cs="Arial" w:ascii="Arial" w:hAnsi="Arial"/>
          <w:sz w:val="24"/>
          <w:szCs w:val="24"/>
          <w:shd w:fill="FFFFFF" w:val="clear"/>
          <w:lang w:bidi="hi-IN"/>
        </w:rPr>
        <w:t>o Serviço de Saúde Auditiva Estadual</w:t>
      </w:r>
      <w:r>
        <w:rPr>
          <w:rFonts w:eastAsia="SimSun" w:cs="Arial" w:ascii="Arial" w:hAnsi="Arial"/>
          <w:sz w:val="24"/>
          <w:szCs w:val="24"/>
          <w:lang w:bidi="hi-IN"/>
        </w:rPr>
        <w:t>, coordenado pela Área Técnica da Saúde da Pessoa com Deficiência (ATPCD), que está vinculada à Superintendência de Serviços Especializados e Regulação (SUR) pertencente à Secretaria de Estado da Saúde (SES) de Santa Catarina.</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A organização dessa rede é bastante complexa e envolve estratégias e ações que permeiam os conceitos de educação, prevenção, avaliação, tratamento e reabilitação.</w:t>
      </w:r>
    </w:p>
    <w:p>
      <w:pPr>
        <w:pStyle w:val="Normal"/>
        <w:spacing w:lineRule="auto" w:line="360" w:before="120" w:after="120"/>
        <w:ind w:firstLine="567"/>
        <w:jc w:val="both"/>
        <w:rPr>
          <w:rFonts w:ascii="Arial" w:hAnsi="Arial" w:eastAsia="SimSun" w:cs="Arial"/>
          <w:sz w:val="24"/>
          <w:szCs w:val="24"/>
          <w:highlight w:val="white"/>
          <w:lang w:bidi="hi-IN"/>
        </w:rPr>
      </w:pPr>
      <w:r>
        <w:rPr>
          <w:rFonts w:eastAsia="SimSun" w:cs="Arial" w:ascii="Arial" w:hAnsi="Arial"/>
          <w:sz w:val="24"/>
          <w:szCs w:val="24"/>
          <w:lang w:bidi="hi-IN"/>
        </w:rPr>
        <w:t>A implantação e controle de sistemas de regulação e avaliação continuada aos usuários com deficiência auditiva garantem a universalidade do acesso, a equidade, a integralidade e o controle social, entre outros princípios doutrinários do Sistema Único de Saúde (SUS), sendo indicativos e significativos na formação da rede regionalizada.</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shd w:fill="FFFFFF" w:val="clear"/>
          <w:lang w:bidi="hi-IN"/>
        </w:rPr>
        <w:t>Esta</w:t>
      </w:r>
      <w:r>
        <w:rPr>
          <w:rFonts w:eastAsia="SimSun" w:cs="Arial" w:ascii="Arial" w:hAnsi="Arial"/>
          <w:sz w:val="24"/>
          <w:szCs w:val="24"/>
          <w:lang w:bidi="hi-IN"/>
        </w:rPr>
        <w:t>s Diretrizes contêm objetivos, fluxos e metas, configurando-se como um instrumento norteador para execução, monitoramento e avaliação das ações da Saúde da Pessoa com Deficiência Auditiva no SUS em Santa Catarina, em consonância com a legislação vigente.</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A atenção integral à saúde auditiva constitui diferentes níveis de atenção auditiva, englobando desde ações de triagem auditiva neonatal (TAN), o diagnóstico funcional e a reabilitação auditiva.</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r>
    </w:p>
    <w:p>
      <w:pPr>
        <w:pStyle w:val="Ttulo2"/>
        <w:rPr>
          <w:rStyle w:val="Forte1"/>
          <w:b w:val="false"/>
          <w:b w:val="false"/>
          <w:bCs w:val="false"/>
        </w:rPr>
      </w:pPr>
      <w:bookmarkStart w:id="7" w:name="__RefHeading__2721_41855624"/>
      <w:bookmarkStart w:id="8" w:name="_Toc434344413"/>
      <w:bookmarkStart w:id="9" w:name="_Toc434148331"/>
      <w:bookmarkEnd w:id="7"/>
      <w:bookmarkEnd w:id="8"/>
      <w:bookmarkEnd w:id="9"/>
      <w:r>
        <w:rPr>
          <w:rStyle w:val="Forte1"/>
          <w:b w:val="false"/>
          <w:bCs w:val="false"/>
        </w:rPr>
        <w:t>1.1 Caracterização do Estado de Santa Catarina e da regionalização da saúde</w:t>
      </w:r>
    </w:p>
    <w:p>
      <w:pPr>
        <w:pStyle w:val="Corpodetexto"/>
        <w:rPr>
          <w:rFonts w:eastAsia="SimSun"/>
        </w:rPr>
      </w:pPr>
      <w:r>
        <w:rPr>
          <w:rFonts w:eastAsia="SimSun"/>
        </w:rPr>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 xml:space="preserve">O Estado de Santa Catarina localiza-se na Região Sul do Brasil, entre os estados do Paraná e Rio Grande do Sul. Do ponto de vista territorial é o sétimo menor estado do País, ocupando 1,1% do território nacional e 16,6% da Região Sul. </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A regionalização é a diretriz do Sistema Único de Saúde (SUS) que orienta o processo de descentralização das ações e serviços de saúde e os processos de negociação e pactuação entre os gestores.</w:t>
      </w:r>
    </w:p>
    <w:p>
      <w:pPr>
        <w:pStyle w:val="Normal"/>
        <w:spacing w:lineRule="auto" w:line="360" w:before="120" w:after="120"/>
        <w:ind w:firstLine="567"/>
        <w:jc w:val="both"/>
        <w:rPr>
          <w:rStyle w:val="Strong"/>
          <w:rFonts w:ascii="Arial" w:hAnsi="Arial" w:eastAsia="SimSun" w:cs="Arial"/>
          <w:b w:val="false"/>
          <w:b w:val="false"/>
          <w:bCs w:val="false"/>
          <w:sz w:val="24"/>
          <w:szCs w:val="24"/>
          <w:highlight w:val="white"/>
          <w:lang w:bidi="hi-IN"/>
        </w:rPr>
      </w:pPr>
      <w:r>
        <w:rPr>
          <w:rFonts w:eastAsia="SimSun" w:cs="Arial" w:ascii="Arial" w:hAnsi="Arial"/>
          <w:sz w:val="24"/>
          <w:szCs w:val="24"/>
          <w:lang w:bidi="hi-IN"/>
        </w:rPr>
        <w:t>A organização político-administrativa do Estado compreende 295 municípios e a regionalização da Saúde de Santa Catarina está representada por 36 Secretarias de Desenvolvimento Regionais (SDRs) com Gerências Regionais de Saúde (GERSAs), 16 Regionais de Saúde e 9 macrorregiões conforme aponta o PDR/2008 (SC/SES, 2008). Na atenção à saúde auditiva em SC a regionalização considera as SRDs e as macrorregiões.</w:t>
      </w:r>
    </w:p>
    <w:p>
      <w:pPr>
        <w:pStyle w:val="Normal"/>
        <w:spacing w:lineRule="auto" w:line="360" w:before="120" w:after="120"/>
        <w:ind w:firstLine="567"/>
        <w:jc w:val="both"/>
        <w:rPr>
          <w:rFonts w:ascii="Arial" w:hAnsi="Arial" w:eastAsia="SimSun" w:cs="Arial"/>
          <w:sz w:val="24"/>
          <w:szCs w:val="24"/>
          <w:highlight w:val="white"/>
          <w:lang w:bidi="hi-IN"/>
        </w:rPr>
      </w:pPr>
      <w:r>
        <w:rPr>
          <w:rStyle w:val="Strong"/>
          <w:rFonts w:eastAsia="SimSun" w:cs="Arial" w:ascii="Arial" w:hAnsi="Arial"/>
          <w:b w:val="false"/>
          <w:bCs w:val="false"/>
          <w:sz w:val="24"/>
          <w:szCs w:val="24"/>
          <w:shd w:fill="FFFFFF" w:val="clear"/>
          <w:lang w:bidi="hi-IN"/>
        </w:rPr>
        <w:t>As Regiões de Saúde s</w:t>
      </w:r>
      <w:r>
        <w:rPr>
          <w:rFonts w:eastAsia="SimSun" w:cs="Arial" w:ascii="Arial" w:hAnsi="Arial"/>
          <w:sz w:val="24"/>
          <w:szCs w:val="24"/>
          <w:shd w:fill="FFFFFF" w:val="clear"/>
          <w:lang w:bidi="hi-IN"/>
        </w:rPr>
        <w:t xml:space="preserve">ão espaços geográficos contínuos constituídos por agrupamento de Municípios limítrofes, delimitadas a partir de identidades culturais, econômicas e sociais e de redes de comunicação e infraestrutura de transportes compartilhados, com a finalidade de integrar a organização, o planejamento e a execução de ações e serviços de saúde. </w:t>
      </w:r>
    </w:p>
    <w:p>
      <w:pPr>
        <w:pStyle w:val="Normal"/>
        <w:spacing w:lineRule="auto" w:line="360" w:before="120" w:after="120"/>
        <w:ind w:firstLine="567"/>
        <w:jc w:val="both"/>
        <w:rPr>
          <w:rStyle w:val="Strong"/>
          <w:rFonts w:ascii="Arial" w:hAnsi="Arial" w:eastAsia="SimSun" w:cs="Arial"/>
          <w:b w:val="false"/>
          <w:b w:val="false"/>
          <w:bCs w:val="false"/>
          <w:sz w:val="24"/>
          <w:szCs w:val="24"/>
          <w:highlight w:val="white"/>
          <w:lang w:bidi="hi-IN"/>
        </w:rPr>
      </w:pPr>
      <w:r>
        <w:rPr>
          <w:rFonts w:eastAsia="SimSun" w:cs="Arial" w:ascii="Arial" w:hAnsi="Arial"/>
          <w:sz w:val="24"/>
          <w:szCs w:val="24"/>
          <w:shd w:fill="FFFFFF" w:val="clear"/>
          <w:lang w:bidi="hi-IN"/>
        </w:rPr>
        <w:t>Cada Região de Saúde tem um órgão de representação da Secretaria de Estado da Saúde, denominada Secretaria de Desenvolvimento Regional (SDR). Essas Secretarias deverão se utilizar de mecanismos gerenciais para o desenvolvimento de suas atribuições, dentre os quais podem ser aqui citados:</w:t>
      </w:r>
    </w:p>
    <w:p>
      <w:pPr>
        <w:pStyle w:val="PargrafodaLista1"/>
        <w:numPr>
          <w:ilvl w:val="0"/>
          <w:numId w:val="4"/>
        </w:numPr>
        <w:spacing w:lineRule="auto" w:line="360" w:before="120" w:after="120"/>
        <w:ind w:left="1134" w:hanging="567"/>
        <w:jc w:val="both"/>
        <w:rPr>
          <w:rStyle w:val="Strong"/>
          <w:rFonts w:ascii="Arial" w:hAnsi="Arial" w:eastAsia="SimSun" w:cs="Arial"/>
          <w:b w:val="false"/>
          <w:b w:val="false"/>
          <w:bCs w:val="false"/>
          <w:sz w:val="24"/>
          <w:szCs w:val="24"/>
          <w:highlight w:val="white"/>
          <w:lang w:bidi="hi-IN"/>
        </w:rPr>
      </w:pPr>
      <w:r>
        <w:rPr>
          <w:rStyle w:val="Strong"/>
          <w:rFonts w:eastAsia="SimSun" w:cs="Arial" w:ascii="Arial" w:hAnsi="Arial"/>
          <w:b w:val="false"/>
          <w:bCs w:val="false"/>
          <w:sz w:val="24"/>
          <w:szCs w:val="24"/>
          <w:shd w:fill="FFFFFF" w:val="clear"/>
          <w:lang w:bidi="hi-IN"/>
        </w:rPr>
        <w:t xml:space="preserve">Plano Diretor de Regionalização (PDR): </w:t>
      </w:r>
      <w:r>
        <w:rPr>
          <w:rFonts w:eastAsia="SimSun" w:cs="Arial" w:ascii="Arial" w:hAnsi="Arial"/>
          <w:sz w:val="24"/>
          <w:szCs w:val="24"/>
          <w:shd w:fill="FFFFFF" w:val="clear"/>
          <w:lang w:bidi="hi-IN"/>
        </w:rPr>
        <w:t>Instrumento que regulamenta o processo de regionalização da assistência à saúde da população. Trata das intenções de reestruturação dos serviços de saúde existentes e estratégicos para as regiões; contem o desenho final de identificação e o reconhecimento das regiões e das macrorregiões de saúde e os desenhos das redes regionalizadas de atenção à saúde.</w:t>
      </w:r>
    </w:p>
    <w:p>
      <w:pPr>
        <w:pStyle w:val="PargrafodaLista1"/>
        <w:numPr>
          <w:ilvl w:val="0"/>
          <w:numId w:val="4"/>
        </w:numPr>
        <w:spacing w:lineRule="auto" w:line="360" w:before="120" w:after="120"/>
        <w:ind w:left="1134" w:hanging="567"/>
        <w:jc w:val="both"/>
        <w:rPr>
          <w:rStyle w:val="Strong"/>
          <w:rFonts w:ascii="Arial" w:hAnsi="Arial" w:eastAsia="SimSun" w:cs="Arial"/>
          <w:b w:val="false"/>
          <w:b w:val="false"/>
          <w:bCs w:val="false"/>
          <w:sz w:val="24"/>
          <w:szCs w:val="24"/>
          <w:highlight w:val="white"/>
          <w:lang w:bidi="hi-IN"/>
        </w:rPr>
      </w:pPr>
      <w:r>
        <w:rPr>
          <w:rStyle w:val="Strong"/>
          <w:rFonts w:eastAsia="SimSun" w:cs="Arial" w:ascii="Arial" w:hAnsi="Arial"/>
          <w:b w:val="false"/>
          <w:bCs w:val="false"/>
          <w:sz w:val="24"/>
          <w:szCs w:val="24"/>
          <w:shd w:fill="FFFFFF" w:val="clear"/>
          <w:lang w:bidi="hi-IN"/>
        </w:rPr>
        <w:t>Plano Diretor de Investimento (PDI):</w:t>
      </w:r>
      <w:r>
        <w:rPr>
          <w:rFonts w:eastAsia="SimSun" w:cs="Arial" w:ascii="Arial" w:hAnsi="Arial"/>
          <w:sz w:val="24"/>
          <w:szCs w:val="24"/>
          <w:shd w:fill="FFFFFF" w:val="clear"/>
          <w:lang w:bidi="hi-IN"/>
        </w:rPr>
        <w:t xml:space="preserve"> Instrumento que define o perfil de atendimento e necessidades de investimento das unidades de saúde do Sistema Único de Saúde, baseado no Plano Diretor de Regionalização.</w:t>
      </w:r>
    </w:p>
    <w:p>
      <w:pPr>
        <w:pStyle w:val="PargrafodaLista1"/>
        <w:numPr>
          <w:ilvl w:val="0"/>
          <w:numId w:val="4"/>
        </w:numPr>
        <w:spacing w:lineRule="auto" w:line="360" w:before="120" w:after="120"/>
        <w:ind w:left="1134" w:hanging="567"/>
        <w:jc w:val="both"/>
        <w:rPr>
          <w:rStyle w:val="Strong"/>
          <w:rFonts w:ascii="Arial" w:hAnsi="Arial" w:eastAsia="SimSun" w:cs="Arial"/>
          <w:b w:val="false"/>
          <w:b w:val="false"/>
          <w:bCs w:val="false"/>
          <w:sz w:val="24"/>
          <w:szCs w:val="24"/>
          <w:highlight w:val="white"/>
          <w:lang w:bidi="hi-IN"/>
        </w:rPr>
      </w:pPr>
      <w:r>
        <w:rPr>
          <w:rStyle w:val="Strong"/>
          <w:rFonts w:eastAsia="SimSun" w:cs="Arial" w:ascii="Arial" w:hAnsi="Arial"/>
          <w:b w:val="false"/>
          <w:bCs w:val="false"/>
          <w:sz w:val="24"/>
          <w:szCs w:val="24"/>
          <w:shd w:fill="FFFFFF" w:val="clear"/>
          <w:lang w:bidi="hi-IN"/>
        </w:rPr>
        <w:t>Programação Pactuada e Integrada (PPI): E</w:t>
      </w:r>
      <w:r>
        <w:rPr>
          <w:rFonts w:eastAsia="SimSun" w:cs="Arial" w:ascii="Arial" w:hAnsi="Arial"/>
          <w:sz w:val="24"/>
          <w:szCs w:val="24"/>
          <w:shd w:fill="FFFFFF" w:val="clear"/>
          <w:lang w:bidi="hi-IN"/>
        </w:rPr>
        <w:t>xpressa as responsabilidades do Estado e dos municípios para a assistência à saúde da população, organizada de modo regionalizado, hierarquizado e integrado, orientada pelo Plano Diretor de Regionalização.</w:t>
      </w:r>
    </w:p>
    <w:p>
      <w:pPr>
        <w:pStyle w:val="PargrafodaLista1"/>
        <w:numPr>
          <w:ilvl w:val="0"/>
          <w:numId w:val="4"/>
        </w:numPr>
        <w:spacing w:lineRule="auto" w:line="360" w:before="120" w:after="120"/>
        <w:ind w:left="1134" w:hanging="567"/>
        <w:jc w:val="both"/>
        <w:rPr>
          <w:rStyle w:val="Strong"/>
          <w:rFonts w:ascii="Arial" w:hAnsi="Arial" w:eastAsia="SimSun" w:cs="Arial"/>
          <w:b w:val="false"/>
          <w:b w:val="false"/>
          <w:bCs w:val="false"/>
          <w:color w:val="00000A"/>
          <w:sz w:val="24"/>
          <w:szCs w:val="24"/>
          <w:highlight w:val="white"/>
          <w:lang w:bidi="hi-IN"/>
        </w:rPr>
      </w:pPr>
      <w:r>
        <w:rPr>
          <w:rStyle w:val="Strong"/>
          <w:rFonts w:eastAsia="SimSun" w:cs="Arial" w:ascii="Arial" w:hAnsi="Arial"/>
          <w:b w:val="false"/>
          <w:bCs w:val="false"/>
          <w:sz w:val="24"/>
          <w:szCs w:val="24"/>
          <w:shd w:fill="FFFFFF" w:val="clear"/>
          <w:lang w:bidi="hi-IN"/>
        </w:rPr>
        <w:t xml:space="preserve">Comissão Intergestores Regionais (CIR): </w:t>
      </w:r>
      <w:r>
        <w:rPr>
          <w:rFonts w:eastAsia="SimSun" w:cs="Arial" w:ascii="Arial" w:hAnsi="Arial"/>
          <w:sz w:val="24"/>
          <w:szCs w:val="24"/>
          <w:shd w:fill="FFFFFF" w:val="clear"/>
          <w:lang w:bidi="hi-IN"/>
        </w:rPr>
        <w:t xml:space="preserve">Cada região possui uma CIR com a finalidade de pactuar a organização e o funcionamento das ações e serviços de saúde, bem como pactuar os aspectos operacionais, financeiros e administrativos da gestão compartilhada do SUS, as diretrizes gerais sobre as regiões de saúde, as diretrizes regionais para a organização das redes de atenção, e as referências da atenção à saúde </w:t>
      </w:r>
      <w:r>
        <w:rPr>
          <w:rFonts w:eastAsia="SimSun" w:cs="Arial" w:ascii="Arial" w:hAnsi="Arial"/>
          <w:color w:val="00000A"/>
          <w:sz w:val="24"/>
          <w:szCs w:val="24"/>
          <w:shd w:fill="FFFFFF" w:val="clear"/>
          <w:lang w:bidi="hi-IN"/>
        </w:rPr>
        <w:t>para</w:t>
      </w:r>
      <w:r>
        <w:rPr>
          <w:rFonts w:eastAsia="SimSun" w:cs="Arial" w:ascii="Arial" w:hAnsi="Arial"/>
          <w:sz w:val="24"/>
          <w:szCs w:val="24"/>
          <w:shd w:fill="FFFFFF" w:val="clear"/>
          <w:lang w:bidi="hi-IN"/>
        </w:rPr>
        <w:t xml:space="preserve"> o atendimento da integralidade da assistência na região.</w:t>
      </w:r>
    </w:p>
    <w:p>
      <w:pPr>
        <w:pStyle w:val="PargrafodaLista1"/>
        <w:numPr>
          <w:ilvl w:val="0"/>
          <w:numId w:val="4"/>
        </w:numPr>
        <w:spacing w:lineRule="auto" w:line="360" w:before="120" w:after="120"/>
        <w:ind w:left="1134" w:hanging="567"/>
        <w:jc w:val="both"/>
        <w:rPr>
          <w:rFonts w:ascii="Arial" w:hAnsi="Arial" w:eastAsia="SimSun" w:cs="Arial"/>
          <w:sz w:val="24"/>
          <w:szCs w:val="24"/>
          <w:highlight w:val="white"/>
          <w:lang w:bidi="hi-IN"/>
        </w:rPr>
      </w:pPr>
      <w:r>
        <w:rPr>
          <w:rStyle w:val="Strong"/>
          <w:rFonts w:eastAsia="SimSun" w:cs="Arial" w:ascii="Arial" w:hAnsi="Arial"/>
          <w:b w:val="false"/>
          <w:bCs w:val="false"/>
          <w:color w:val="00000A"/>
          <w:sz w:val="24"/>
          <w:szCs w:val="24"/>
          <w:shd w:fill="FFFFFF" w:val="clear"/>
          <w:lang w:bidi="hi-IN"/>
        </w:rPr>
        <w:t xml:space="preserve">Comissão Intergestores Bipartite (CIB): </w:t>
      </w:r>
      <w:r>
        <w:rPr>
          <w:rFonts w:cs="Arial" w:ascii="Arial" w:hAnsi="Arial"/>
          <w:color w:val="00000A"/>
          <w:sz w:val="24"/>
          <w:szCs w:val="24"/>
          <w:lang w:val="en-US" w:eastAsia="en-US"/>
        </w:rPr>
        <w:t xml:space="preserve">A Comissão Intergestores Bipartite, CIB, é o fórum de negociação entre o Estado e os Municípios na implantação e operacionalização do Sistema Único de Saúde, SUS. Como colegiado bipartite, a CIB é composta paritariamente por nove representantes da Secretaria de Estado da Saúde e por nove do Conselho de Secretários Municipais de Saúde, COSEMS. </w:t>
      </w:r>
    </w:p>
    <w:p>
      <w:pPr>
        <w:pStyle w:val="Normal"/>
        <w:spacing w:lineRule="auto" w:line="360" w:before="120" w:after="120"/>
        <w:ind w:firstLine="567"/>
        <w:jc w:val="both"/>
        <w:rPr>
          <w:rFonts w:ascii="Arial" w:hAnsi="Arial" w:eastAsia="SimSun" w:cs="Arial"/>
          <w:sz w:val="24"/>
          <w:szCs w:val="24"/>
          <w:highlight w:val="white"/>
          <w:lang w:bidi="hi-IN"/>
        </w:rPr>
      </w:pPr>
      <w:r>
        <w:rPr>
          <w:rFonts w:eastAsia="SimSun" w:cs="Arial" w:ascii="Arial" w:hAnsi="Arial"/>
          <w:sz w:val="24"/>
          <w:szCs w:val="24"/>
          <w:shd w:fill="FFFFFF" w:val="clear"/>
          <w:lang w:bidi="hi-IN"/>
        </w:rPr>
        <w:t>Na configuração das Regiões de Saúde de Santa Catarina, conforme a Deliberação 458/CIB/12 (SES/SC, 2012), as 16 Regiões de Saúde coincidem com as atuais Comissões Intergestores Regionais (CIR).</w:t>
      </w:r>
    </w:p>
    <w:p>
      <w:pPr>
        <w:pStyle w:val="Normal"/>
        <w:spacing w:lineRule="auto" w:line="360" w:before="120" w:after="120"/>
        <w:ind w:firstLine="567"/>
        <w:jc w:val="both"/>
        <w:rPr/>
      </w:pPr>
      <w:r>
        <w:rPr>
          <w:rFonts w:eastAsia="SimSun" w:cs="Arial" w:ascii="Arial" w:hAnsi="Arial"/>
          <w:sz w:val="24"/>
          <w:szCs w:val="24"/>
          <w:shd w:fill="FFFFFF" w:val="clear"/>
          <w:lang w:bidi="hi-IN"/>
        </w:rPr>
        <w:t>A distribuição das 36 Secretarias de Desenvolvimento Regionais (SDRs) está representada na Figura 1 a seguir:</w:t>
      </w:r>
    </w:p>
    <w:p>
      <w:pPr>
        <w:pStyle w:val="Normal"/>
        <w:spacing w:lineRule="auto" w:line="360" w:before="120" w:after="120"/>
        <w:ind w:firstLine="567"/>
        <w:jc w:val="both"/>
        <w:rPr>
          <w:rFonts w:ascii="Arial" w:hAnsi="Arial" w:eastAsia="SimSun" w:cs="Arial"/>
          <w:sz w:val="24"/>
          <w:szCs w:val="24"/>
          <w:shd w:fill="FFFFFF" w:val="clear"/>
          <w:lang w:bidi="hi-IN"/>
        </w:rPr>
      </w:pPr>
      <w:r>
        <w:rPr>
          <w:rFonts w:eastAsia="SimSun" w:cs="Arial" w:ascii="Arial" w:hAnsi="Arial"/>
          <w:sz w:val="24"/>
          <w:szCs w:val="24"/>
          <w:shd w:fill="FFFFFF" w:val="clear"/>
          <w:lang w:bidi="hi-IN"/>
        </w:rPr>
      </w:r>
    </w:p>
    <w:p>
      <w:pPr>
        <w:pStyle w:val="Normal"/>
        <w:spacing w:lineRule="auto" w:line="360" w:before="120" w:after="120"/>
        <w:ind w:firstLine="567"/>
        <w:jc w:val="both"/>
        <w:rPr>
          <w:rFonts w:ascii="Arial" w:hAnsi="Arial" w:eastAsia="SimSun" w:cs="Arial"/>
          <w:sz w:val="24"/>
          <w:szCs w:val="24"/>
          <w:shd w:fill="FFFFFF" w:val="clear"/>
          <w:lang w:bidi="hi-IN"/>
        </w:rPr>
      </w:pPr>
      <w:r>
        <w:rPr>
          <w:rFonts w:eastAsia="SimSun" w:cs="Arial" w:ascii="Arial" w:hAnsi="Arial"/>
          <w:sz w:val="24"/>
          <w:szCs w:val="24"/>
          <w:shd w:fill="FFFFFF" w:val="clear"/>
          <w:lang w:bidi="hi-IN"/>
        </w:rPr>
      </w:r>
    </w:p>
    <w:p>
      <w:pPr>
        <w:pStyle w:val="Corpodetexto"/>
        <w:spacing w:lineRule="auto" w:line="360" w:before="0" w:after="0"/>
        <w:jc w:val="center"/>
        <w:rPr>
          <w:rFonts w:ascii="Arial" w:hAnsi="Arial" w:eastAsia="SimSun" w:cs="Arial"/>
          <w:sz w:val="24"/>
          <w:szCs w:val="24"/>
          <w:highlight w:val="white"/>
          <w:lang w:bidi="hi-IN"/>
        </w:rPr>
      </w:pPr>
      <w:r>
        <w:rPr>
          <w:rFonts w:eastAsia="SimSun" w:cs="Arial" w:ascii="Arial" w:hAnsi="Arial"/>
          <w:sz w:val="24"/>
          <w:szCs w:val="24"/>
          <w:highlight w:val="white"/>
          <w:lang w:bidi="hi-IN"/>
        </w:rPr>
      </w:r>
    </w:p>
    <w:p>
      <w:pPr>
        <w:pStyle w:val="Corpodetexto"/>
        <w:spacing w:lineRule="auto" w:line="360" w:before="120" w:after="120"/>
        <w:jc w:val="both"/>
        <w:rPr>
          <w:rFonts w:ascii="Arial" w:hAnsi="Arial" w:eastAsia="SimSun" w:cs="Arial"/>
          <w:shd w:fill="FFFFFF" w:val="clear"/>
          <w:lang w:eastAsia="en-US" w:bidi="hi-IN"/>
        </w:rPr>
      </w:pPr>
      <w:r>
        <w:rPr>
          <w:rFonts w:eastAsia="SimSun" w:cs="Arial" w:ascii="Arial" w:hAnsi="Arial"/>
          <w:shd w:fill="FFFFFF" w:val="clear"/>
          <w:lang w:eastAsia="en-US" w:bidi="hi-IN"/>
        </w:rPr>
        <w:drawing>
          <wp:anchor behindDoc="0" distT="0" distB="0" distL="0" distR="0" simplePos="0" locked="0" layoutInCell="1" allowOverlap="1" relativeHeight="2">
            <wp:simplePos x="0" y="0"/>
            <wp:positionH relativeFrom="column">
              <wp:posOffset>308610</wp:posOffset>
            </wp:positionH>
            <wp:positionV relativeFrom="paragraph">
              <wp:posOffset>111760</wp:posOffset>
            </wp:positionV>
            <wp:extent cx="5090795" cy="3201670"/>
            <wp:effectExtent l="0" t="0" r="0" b="0"/>
            <wp:wrapSquare wrapText="largest"/>
            <wp:docPr id="1" name="Imagem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descr=""/>
                    <pic:cNvPicPr>
                      <a:picLocks noChangeAspect="1" noChangeArrowheads="1"/>
                    </pic:cNvPicPr>
                  </pic:nvPicPr>
                  <pic:blipFill>
                    <a:blip r:embed="rId2"/>
                    <a:stretch>
                      <a:fillRect/>
                    </a:stretch>
                  </pic:blipFill>
                  <pic:spPr bwMode="auto">
                    <a:xfrm>
                      <a:off x="0" y="0"/>
                      <a:ext cx="5090795" cy="3201670"/>
                    </a:xfrm>
                    <a:prstGeom prst="rect">
                      <a:avLst/>
                    </a:prstGeom>
                  </pic:spPr>
                </pic:pic>
              </a:graphicData>
            </a:graphic>
          </wp:anchor>
        </w:drawing>
      </w:r>
    </w:p>
    <w:p>
      <w:pPr>
        <w:pStyle w:val="Corpodetexto"/>
        <w:spacing w:lineRule="auto" w:line="360" w:before="0" w:after="0"/>
        <w:jc w:val="both"/>
        <w:rPr>
          <w:rFonts w:ascii="Arial" w:hAnsi="Arial" w:eastAsia="SimSun" w:cs="Arial"/>
          <w:lang w:bidi="hi-IN"/>
        </w:rPr>
      </w:pPr>
      <w:r>
        <w:rPr>
          <w:rFonts w:eastAsia="SimSun" w:cs="Arial" w:ascii="Arial" w:hAnsi="Arial"/>
          <w:lang w:bidi="hi-IN"/>
        </w:rPr>
      </w:r>
    </w:p>
    <w:p>
      <w:pPr>
        <w:pStyle w:val="Corpodetexto"/>
        <w:spacing w:lineRule="auto" w:line="360" w:before="0" w:after="0"/>
        <w:jc w:val="both"/>
        <w:rPr>
          <w:rFonts w:ascii="Arial" w:hAnsi="Arial" w:eastAsia="SimSun" w:cs="Arial"/>
          <w:lang w:bidi="hi-IN"/>
        </w:rPr>
      </w:pPr>
      <w:r>
        <w:rPr>
          <w:rFonts w:eastAsia="SimSun" w:cs="Arial" w:ascii="Arial" w:hAnsi="Arial"/>
          <w:lang w:bidi="hi-IN"/>
        </w:rPr>
      </w:r>
    </w:p>
    <w:p>
      <w:pPr>
        <w:pStyle w:val="Corpodetexto"/>
        <w:spacing w:lineRule="auto" w:line="360" w:before="0" w:after="0"/>
        <w:jc w:val="both"/>
        <w:rPr>
          <w:rFonts w:ascii="Arial" w:hAnsi="Arial" w:eastAsia="SimSun" w:cs="Arial"/>
          <w:color w:val="FF6600"/>
          <w:sz w:val="24"/>
          <w:szCs w:val="24"/>
          <w:highlight w:val="white"/>
          <w:lang w:bidi="hi-IN"/>
        </w:rPr>
      </w:pPr>
      <w:r>
        <w:rPr>
          <w:rFonts w:eastAsia="SimSun" w:cs="Arial" w:ascii="Arial" w:hAnsi="Arial"/>
          <w:lang w:bidi="hi-IN"/>
        </w:rPr>
        <w:t xml:space="preserve">Fonte: arquivos das autoras (ATPCD;SUR;SES) </w:t>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Ttulo1"/>
        <w:numPr>
          <w:ilvl w:val="0"/>
          <w:numId w:val="3"/>
        </w:numPr>
        <w:rPr/>
      </w:pPr>
      <w:bookmarkStart w:id="10" w:name="_Toc434344414"/>
      <w:bookmarkStart w:id="11" w:name="_Toc434148332"/>
      <w:bookmarkEnd w:id="10"/>
      <w:bookmarkEnd w:id="11"/>
      <w:r>
        <w:rPr>
          <w:rFonts w:eastAsia="SimSun" w:cs="Arial" w:ascii="Arial" w:hAnsi="Arial"/>
          <w:b/>
          <w:sz w:val="24"/>
          <w:lang w:bidi="hi-IN"/>
        </w:rPr>
        <w:t>2  JUSTIFICATIVA</w:t>
      </w:r>
    </w:p>
    <w:p>
      <w:pPr>
        <w:pStyle w:val="Normal"/>
        <w:rPr>
          <w:rFonts w:eastAsia="SimSun"/>
        </w:rPr>
      </w:pPr>
      <w:r>
        <w:rPr>
          <w:rFonts w:eastAsia="SimSun"/>
        </w:rPr>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 xml:space="preserve">A audição é considerada um dos sentidos essenciais ao desenvolvimento global do ser humano, principalmente quanto aos aspectos linguísticos e psicossociais. Os primeiros anos de vida são considerados períodos críticos onde ocorre o desenvolvimento da linguagem e das habilidades auditivas. </w:t>
      </w:r>
    </w:p>
    <w:p>
      <w:pPr>
        <w:pStyle w:val="Normal"/>
        <w:spacing w:lineRule="auto" w:line="360" w:before="120" w:after="120"/>
        <w:ind w:firstLine="567"/>
        <w:jc w:val="both"/>
        <w:rPr>
          <w:rFonts w:ascii="Arial" w:hAnsi="Arial" w:cs="Arial"/>
          <w:sz w:val="24"/>
          <w:szCs w:val="24"/>
        </w:rPr>
      </w:pPr>
      <w:r>
        <w:rPr>
          <w:rFonts w:eastAsia="SimSun" w:cs="Arial" w:ascii="Arial" w:hAnsi="Arial"/>
          <w:sz w:val="24"/>
          <w:szCs w:val="24"/>
          <w:lang w:bidi="hi-IN"/>
        </w:rPr>
        <w:t>Uma perda de audição pode ser considerada como qualquer diminuição da capacidade de ouvir e/ou detectar sons da fala ou de ambiente. As causas podem ocorrer em diferentes momentos da vida do indivíduo, durante a gestação ou parto, na infância, vida adulta ou na terceira idade.</w:t>
      </w:r>
    </w:p>
    <w:p>
      <w:pPr>
        <w:pStyle w:val="Normal"/>
        <w:spacing w:lineRule="auto" w:line="360" w:before="120" w:after="120"/>
        <w:ind w:firstLine="567"/>
        <w:jc w:val="both"/>
        <w:rPr>
          <w:rFonts w:ascii="Arial" w:hAnsi="Arial" w:eastAsia="SimSun" w:cs="Arial"/>
          <w:sz w:val="24"/>
          <w:szCs w:val="24"/>
          <w:lang w:bidi="hi-IN"/>
        </w:rPr>
      </w:pPr>
      <w:r>
        <w:rPr>
          <w:rFonts w:cs="Arial" w:ascii="Arial" w:hAnsi="Arial"/>
          <w:sz w:val="24"/>
          <w:szCs w:val="24"/>
        </w:rPr>
        <w:t>S</w:t>
      </w:r>
      <w:r>
        <w:rPr>
          <w:rFonts w:eastAsia="SimSun" w:cs="Arial" w:ascii="Arial" w:hAnsi="Arial"/>
          <w:sz w:val="24"/>
          <w:szCs w:val="24"/>
          <w:lang w:bidi="hi-IN"/>
        </w:rPr>
        <w:t>egundo estimativas da Organização Mundial de Saúde (OMS), 42 milhões de pessoas acima de três anos de idade possuem algum tipo de deficiência auditiva, de moderada a profunda.</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Quanto mais precoce for o diagnóstico da perda auditiva, menores serão os danos causados ao desenvolvimento da fala e da linguagem, escolar, social e psicológico. A observação por parte dos familiares e/ou profissionais, de alguns aspectos referentes às funções auditivas pode colaborar propiciando esse diagnóstico precoce dando início a um trabalho terapêutico integral adequado.</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O serviço de assistência às pessoas com deficiência auditiva teve seu início no extinto Instituto Nacion</w:t>
      </w:r>
      <w:r>
        <w:rPr>
          <w:rFonts w:eastAsia="SimSun" w:cs="Arial" w:ascii="Arial" w:hAnsi="Arial"/>
          <w:sz w:val="24"/>
          <w:szCs w:val="24"/>
          <w:shd w:fill="FFFFFF" w:val="clear"/>
          <w:lang w:bidi="hi-IN"/>
        </w:rPr>
        <w:t xml:space="preserve">al de Assistência Médica da </w:t>
      </w:r>
      <w:r>
        <w:rPr>
          <w:rFonts w:eastAsia="SimSun" w:cs="Arial" w:ascii="Arial" w:hAnsi="Arial"/>
          <w:sz w:val="24"/>
          <w:szCs w:val="24"/>
          <w:lang w:bidi="hi-IN"/>
        </w:rPr>
        <w:t>Previdência Social (INAMPS); seus fundamentos legais estão baseados Portaria nº 3335/MPAS de 11 de junho de 1984, acompanhada da Resolução nº. 46, com fins de autorizar a concessão de ajuda supletiva aos beneficiários do INAMPS nas modalidades de “auxílio transporte” “auxílio órtese e prótese” e "outros aparelhos ou peças”.</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Considerando a integralidade da assistência estabelecida na Constituição Federal de 1988 e na Lei Orgânica da Saúde, Lei n°8080 de 16 de setembro de 1990, a Secretaria de Estado da Saúde de Santa Catarina, como forma de garantir a continuidade de dispensação dos serviços prestados, editou, em 1 de outubro de 1991, a Portaria SES/DIAM/001</w:t>
      </w:r>
      <w:r>
        <w:rPr>
          <w:rFonts w:eastAsia="SimSun" w:cs="Arial" w:ascii="Arial" w:hAnsi="Arial"/>
          <w:sz w:val="24"/>
          <w:szCs w:val="24"/>
          <w:shd w:fill="FFFFFF" w:val="clear"/>
          <w:lang w:bidi="hi-IN"/>
        </w:rPr>
        <w:t>/91 q</w:t>
      </w:r>
      <w:r>
        <w:rPr>
          <w:rFonts w:eastAsia="SimSun" w:cs="Arial" w:ascii="Arial" w:hAnsi="Arial"/>
          <w:sz w:val="24"/>
          <w:szCs w:val="24"/>
          <w:lang w:bidi="hi-IN"/>
        </w:rPr>
        <w:t>ue estabeleceu as normas e procedimentos para concessão de ajuda supletiva aos usuários do Sistema Único de Saúde.</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A integralidade, como definição legal, está estabelecida como um conjunto articulado dos serviços e ações de saúde, abrangendo a atenção primária, secundária e terciária, de modo a garantir ações de promoção, prevenção, assistência e reabilitação.</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Com o desenvolvimento da tecnologia em todo o mundo e consequentemente da medicina, tornou-se mais fácil a obtenção de recursos para a melhoria da qualidade de vida e inclusão social das pessoas com deficiência. Assim, aquelas com deficiência auditiva, foram sensivelmente alcançadas por tal desenvolvimento. Hoje, por meio de tratamento clínico especializado e/ou uso de aparelho auditivo, pode-se recuperar a sensibilidade do ouvido ou atenuar a perda da audição.</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Para garantir a todos um atendimento médico especializado, o Ministério da Saúde criou a Política Nacional de atenção a Saúde Auditiva, conforme Portaria GM/MS n° 2073 de 28 de setembro de 2004. A política previa o atendimento integral a esses usuários, com ações englobando a atenção básica (trabalhos de promoção da saúde, prevenção e identificação precoce de problemas auditivos), de média e de alta complexidade (triagem em bebês, diagnóstico, tratamento clínico e reabilitação com fornecimento de aparelho auditivo e terapia fonoaudiológica).</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A evolução do processo também ocorreu por meio de duas Portarias ligadas à Secretaria de Atenção à Saúde do Ministério da Saúde que normatizaram aquela política, a Portaria n° 587 de 07 de outubro de 2004, e a Portaria nº 589 de 08 de outubro de 2004, que tratam da organização das redes estaduais de serviços de atenção à saúde auditiva, prevendo a descentralização do atendimento.</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Em 2011, com a finalidade de promover, por meio da integração e articulação de políticas, programas e ações, o exercício pleno e equitativo dos direitos das pessoas com deficiência, foi publicado o Decreto nº 7.612 de 17 de novembro de 2011, que institui o Plano Nacional dos Direitos da Pessoa com deficiência – Plano Viver sem Limites, e a  Portaria nº 793 de 24 de abril de 2012 que institui a Rede de Cuidados à Pessoa com deficiência no âmbito do Sistema Único de Saúde.</w:t>
      </w:r>
    </w:p>
    <w:p>
      <w:pPr>
        <w:pStyle w:val="Normal"/>
        <w:spacing w:lineRule="auto" w:line="360" w:before="120" w:after="120"/>
        <w:ind w:firstLine="567"/>
        <w:jc w:val="both"/>
        <w:rPr>
          <w:rFonts w:ascii="Arial" w:hAnsi="Arial" w:eastAsia="SimSun" w:cs="Arial"/>
          <w:b/>
          <w:b/>
          <w:color w:val="000000"/>
          <w:sz w:val="24"/>
          <w:szCs w:val="24"/>
          <w:lang w:bidi="hi-IN"/>
        </w:rPr>
      </w:pPr>
      <w:r>
        <w:rPr>
          <w:rFonts w:eastAsia="SimSun" w:cs="Arial" w:ascii="Arial" w:hAnsi="Arial"/>
          <w:sz w:val="24"/>
          <w:szCs w:val="24"/>
          <w:lang w:bidi="hi-IN"/>
        </w:rPr>
        <w:t>Estas Diretrizes, que ora se apresentam, propõem a estruturação de uma rede de assistência em consonância com as legislações atuais, com vistas a atender as pessoas com deficiência auditiva no estado de Santa Catarina de forma articulada entre os diferentes níveis de atenção, contribuindo para a efetiva inclusão social.</w:t>
      </w:r>
    </w:p>
    <w:p>
      <w:pPr>
        <w:pStyle w:val="Normal"/>
        <w:widowControl/>
        <w:suppressAutoHyphens w:val="false"/>
        <w:overflowPunct w:val="false"/>
        <w:textAlignment w:val="auto"/>
        <w:rPr>
          <w:rFonts w:ascii="Arial" w:hAnsi="Arial" w:eastAsia="SimSun" w:cs="Arial"/>
          <w:b/>
          <w:b/>
          <w:sz w:val="24"/>
          <w:szCs w:val="24"/>
          <w:lang w:bidi="hi-IN"/>
        </w:rPr>
      </w:pPr>
      <w:r>
        <w:rPr>
          <w:rFonts w:eastAsia="SimSun" w:cs="Arial" w:ascii="Arial" w:hAnsi="Arial"/>
          <w:b/>
          <w:sz w:val="24"/>
          <w:szCs w:val="24"/>
          <w:lang w:bidi="hi-IN"/>
        </w:rPr>
      </w:r>
      <w:r>
        <w:br w:type="page"/>
      </w:r>
    </w:p>
    <w:p>
      <w:pPr>
        <w:pStyle w:val="Ttulo1"/>
        <w:numPr>
          <w:ilvl w:val="0"/>
          <w:numId w:val="3"/>
        </w:numPr>
        <w:rPr>
          <w:rFonts w:ascii="Arial" w:hAnsi="Arial" w:eastAsia="SimSun" w:cs="Arial"/>
          <w:b/>
          <w:b/>
          <w:sz w:val="24"/>
          <w:szCs w:val="24"/>
          <w:lang w:bidi="hi-IN"/>
        </w:rPr>
      </w:pPr>
      <w:bookmarkStart w:id="12" w:name="_Toc434344415"/>
      <w:bookmarkStart w:id="13" w:name="_Toc434148333"/>
      <w:bookmarkEnd w:id="12"/>
      <w:bookmarkEnd w:id="13"/>
      <w:r>
        <w:rPr>
          <w:rFonts w:eastAsia="SimSun" w:cs="Arial" w:ascii="Arial" w:hAnsi="Arial"/>
          <w:b/>
          <w:sz w:val="24"/>
          <w:szCs w:val="24"/>
          <w:lang w:bidi="hi-IN"/>
        </w:rPr>
        <w:t>3 OBJETIVOS</w:t>
      </w:r>
    </w:p>
    <w:p>
      <w:pPr>
        <w:pStyle w:val="PargrafodaLista1"/>
        <w:spacing w:lineRule="auto" w:line="360" w:before="120" w:after="120"/>
        <w:ind w:left="1080" w:hanging="0"/>
        <w:jc w:val="both"/>
        <w:rPr>
          <w:rFonts w:ascii="Arial" w:hAnsi="Arial" w:eastAsia="SimSun" w:cs="Arial"/>
          <w:color w:val="000000"/>
          <w:sz w:val="24"/>
          <w:szCs w:val="24"/>
          <w:lang w:bidi="hi-IN"/>
        </w:rPr>
      </w:pPr>
      <w:r>
        <w:rPr>
          <w:rFonts w:eastAsia="SimSun" w:cs="Arial" w:ascii="Arial" w:hAnsi="Arial"/>
          <w:color w:val="000000"/>
          <w:sz w:val="24"/>
          <w:szCs w:val="24"/>
          <w:lang w:bidi="hi-IN"/>
        </w:rPr>
      </w:r>
    </w:p>
    <w:p>
      <w:pPr>
        <w:pStyle w:val="Ttulo2"/>
        <w:rPr>
          <w:rStyle w:val="Forte1"/>
        </w:rPr>
      </w:pPr>
      <w:bookmarkStart w:id="14" w:name="_Toc434344416"/>
      <w:bookmarkStart w:id="15" w:name="_Toc434148334"/>
      <w:bookmarkEnd w:id="14"/>
      <w:bookmarkEnd w:id="15"/>
      <w:r>
        <w:rPr>
          <w:rStyle w:val="Forte1"/>
        </w:rPr>
        <w:t>3.1 Objetivo Geral</w:t>
      </w:r>
    </w:p>
    <w:p>
      <w:pPr>
        <w:pStyle w:val="Corpodetexto"/>
        <w:rPr/>
      </w:pPr>
      <w:r>
        <w:rPr/>
      </w:r>
    </w:p>
    <w:p>
      <w:pPr>
        <w:pStyle w:val="Normal"/>
        <w:spacing w:lineRule="auto" w:line="360" w:before="120" w:after="120"/>
        <w:ind w:firstLine="567"/>
        <w:jc w:val="both"/>
        <w:rPr>
          <w:rFonts w:ascii="Arial" w:hAnsi="Arial" w:cs="Arial"/>
          <w:sz w:val="24"/>
          <w:szCs w:val="24"/>
        </w:rPr>
      </w:pPr>
      <w:bookmarkStart w:id="16" w:name="__RefHeading__2723_41855624"/>
      <w:bookmarkEnd w:id="16"/>
      <w:r>
        <w:rPr>
          <w:rFonts w:cs="Arial" w:ascii="Arial" w:hAnsi="Arial"/>
          <w:sz w:val="24"/>
          <w:szCs w:val="24"/>
        </w:rPr>
        <w:t xml:space="preserve">Organizar e implementar as Diretrizes de Atenção à Saúde Auditiva na Rede de Cuidados à Saúde da Pessoa com Deficiência em Santa Catarina, de forma descentralizada e regionalizada, contemplando as ações de promoção, prevenção, </w:t>
      </w:r>
      <w:r>
        <w:rPr>
          <w:rFonts w:cs="Arial" w:ascii="Arial" w:hAnsi="Arial"/>
          <w:sz w:val="24"/>
          <w:szCs w:val="24"/>
          <w:shd w:fill="FFFFFF" w:val="clear"/>
        </w:rPr>
        <w:t xml:space="preserve">avaliação, </w:t>
      </w:r>
      <w:r>
        <w:rPr>
          <w:rFonts w:cs="Arial" w:ascii="Arial" w:hAnsi="Arial"/>
          <w:sz w:val="24"/>
          <w:szCs w:val="24"/>
        </w:rPr>
        <w:t>tratamento e reabilitação.</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r>
    </w:p>
    <w:p>
      <w:pPr>
        <w:pStyle w:val="Ttulo2"/>
        <w:rPr>
          <w:rStyle w:val="Forte1"/>
        </w:rPr>
      </w:pPr>
      <w:bookmarkStart w:id="17" w:name="_Toc434344417"/>
      <w:bookmarkStart w:id="18" w:name="_Toc434148335"/>
      <w:bookmarkEnd w:id="17"/>
      <w:bookmarkEnd w:id="18"/>
      <w:r>
        <w:rPr>
          <w:rStyle w:val="Forte1"/>
        </w:rPr>
        <w:t>3.2 Objetivos Específicos</w:t>
      </w:r>
    </w:p>
    <w:p>
      <w:pPr>
        <w:pStyle w:val="Corpodetexto"/>
        <w:rPr/>
      </w:pPr>
      <w:r>
        <w:rPr/>
      </w:r>
    </w:p>
    <w:p>
      <w:pPr>
        <w:pStyle w:val="PargrafodaLista1"/>
        <w:numPr>
          <w:ilvl w:val="0"/>
          <w:numId w:val="10"/>
        </w:numPr>
        <w:spacing w:lineRule="auto" w:line="360" w:before="120" w:after="120"/>
        <w:ind w:left="1134" w:hanging="567"/>
        <w:jc w:val="both"/>
        <w:rPr>
          <w:rFonts w:ascii="Arial" w:hAnsi="Arial" w:cs="Arial"/>
          <w:sz w:val="24"/>
          <w:szCs w:val="24"/>
        </w:rPr>
      </w:pPr>
      <w:r>
        <w:rPr>
          <w:rFonts w:cs="Arial" w:ascii="Arial" w:hAnsi="Arial"/>
          <w:sz w:val="24"/>
          <w:szCs w:val="24"/>
        </w:rPr>
        <w:t xml:space="preserve">Realizar ações voltadas para a promoção, prevenção, </w:t>
      </w:r>
      <w:r>
        <w:rPr>
          <w:rFonts w:cs="Arial" w:ascii="Arial" w:hAnsi="Arial"/>
          <w:sz w:val="24"/>
          <w:szCs w:val="24"/>
          <w:shd w:fill="FFFFFF" w:val="clear"/>
        </w:rPr>
        <w:t xml:space="preserve">avaliação, </w:t>
      </w:r>
      <w:r>
        <w:rPr>
          <w:rFonts w:cs="Arial" w:ascii="Arial" w:hAnsi="Arial"/>
          <w:sz w:val="24"/>
          <w:szCs w:val="24"/>
        </w:rPr>
        <w:t>tratamento e reabilitação dos problemas auditivos;</w:t>
      </w:r>
    </w:p>
    <w:p>
      <w:pPr>
        <w:pStyle w:val="PargrafodaLista1"/>
        <w:numPr>
          <w:ilvl w:val="0"/>
          <w:numId w:val="10"/>
        </w:numPr>
        <w:spacing w:lineRule="auto" w:line="360" w:before="120" w:after="120"/>
        <w:ind w:left="1134" w:hanging="567"/>
        <w:jc w:val="both"/>
        <w:rPr>
          <w:rFonts w:ascii="Arial" w:hAnsi="Arial" w:cs="Arial"/>
          <w:sz w:val="24"/>
          <w:szCs w:val="24"/>
        </w:rPr>
      </w:pPr>
      <w:r>
        <w:rPr>
          <w:rFonts w:cs="Arial" w:ascii="Arial" w:hAnsi="Arial"/>
          <w:sz w:val="24"/>
          <w:szCs w:val="24"/>
        </w:rPr>
        <w:t>Estruturar serviços de referência obedecendo ao modelo da Rede e os níveis de serviços, bem como os componentes dessa Rede;</w:t>
      </w:r>
    </w:p>
    <w:p>
      <w:pPr>
        <w:pStyle w:val="PargrafodaLista1"/>
        <w:numPr>
          <w:ilvl w:val="0"/>
          <w:numId w:val="10"/>
        </w:numPr>
        <w:spacing w:lineRule="auto" w:line="360" w:before="120" w:after="120"/>
        <w:ind w:left="1134" w:hanging="567"/>
        <w:jc w:val="both"/>
        <w:rPr>
          <w:rFonts w:ascii="Arial" w:hAnsi="Arial" w:cs="Arial"/>
          <w:sz w:val="24"/>
          <w:szCs w:val="24"/>
        </w:rPr>
      </w:pPr>
      <w:r>
        <w:rPr>
          <w:rFonts w:cs="Arial" w:ascii="Arial" w:hAnsi="Arial"/>
          <w:sz w:val="24"/>
          <w:szCs w:val="24"/>
        </w:rPr>
        <w:t>Implementar a elaboração em conjunto com outras secretarias e instituições, de uma política de atenção às pessoas com deficiência auditiva;</w:t>
      </w:r>
    </w:p>
    <w:p>
      <w:pPr>
        <w:pStyle w:val="PargrafodaLista1"/>
        <w:numPr>
          <w:ilvl w:val="0"/>
          <w:numId w:val="10"/>
        </w:numPr>
        <w:spacing w:lineRule="auto" w:line="360" w:before="120" w:after="120"/>
        <w:ind w:left="1134" w:hanging="567"/>
        <w:jc w:val="both"/>
        <w:rPr>
          <w:rFonts w:ascii="Arial" w:hAnsi="Arial" w:cs="Arial"/>
          <w:sz w:val="24"/>
          <w:szCs w:val="24"/>
        </w:rPr>
      </w:pPr>
      <w:r>
        <w:rPr>
          <w:rFonts w:cs="Arial" w:ascii="Arial" w:hAnsi="Arial"/>
          <w:sz w:val="24"/>
          <w:szCs w:val="24"/>
        </w:rPr>
        <w:t>Manter atividades de supervisão, acompanhamento e avaliação como forma de reorientar e replanejar as ações;</w:t>
      </w:r>
    </w:p>
    <w:p>
      <w:pPr>
        <w:pStyle w:val="PargrafodaLista1"/>
        <w:numPr>
          <w:ilvl w:val="0"/>
          <w:numId w:val="10"/>
        </w:numPr>
        <w:spacing w:lineRule="auto" w:line="360" w:before="120" w:after="120"/>
        <w:ind w:left="1134" w:hanging="567"/>
        <w:jc w:val="both"/>
        <w:rPr>
          <w:rFonts w:ascii="Arial" w:hAnsi="Arial" w:cs="Arial"/>
          <w:sz w:val="24"/>
          <w:szCs w:val="24"/>
        </w:rPr>
      </w:pPr>
      <w:r>
        <w:rPr>
          <w:rFonts w:cs="Arial" w:ascii="Arial" w:hAnsi="Arial"/>
          <w:sz w:val="24"/>
          <w:szCs w:val="24"/>
        </w:rPr>
        <w:t xml:space="preserve">Normatizar a concessão de </w:t>
      </w:r>
      <w:r>
        <w:rPr>
          <w:rFonts w:cs="Arial" w:ascii="Arial" w:hAnsi="Arial"/>
          <w:sz w:val="24"/>
          <w:szCs w:val="24"/>
          <w:shd w:fill="FFFFFF" w:val="clear"/>
        </w:rPr>
        <w:t>aparelho auditivo sonoro individual (AASI), sistema de Frequência Modulada (FM), implante coclear (IC) e prótese auditiva ancorada no osso;</w:t>
      </w:r>
    </w:p>
    <w:p>
      <w:pPr>
        <w:pStyle w:val="PargrafodaLista1"/>
        <w:numPr>
          <w:ilvl w:val="0"/>
          <w:numId w:val="10"/>
        </w:numPr>
        <w:spacing w:lineRule="auto" w:line="360" w:before="120" w:after="120"/>
        <w:ind w:left="1134" w:hanging="567"/>
        <w:jc w:val="both"/>
        <w:rPr>
          <w:rFonts w:ascii="Arial" w:hAnsi="Arial" w:cs="Arial"/>
          <w:sz w:val="24"/>
          <w:szCs w:val="24"/>
        </w:rPr>
      </w:pPr>
      <w:r>
        <w:rPr>
          <w:rFonts w:cs="Arial" w:ascii="Arial" w:hAnsi="Arial"/>
          <w:sz w:val="24"/>
          <w:szCs w:val="24"/>
        </w:rPr>
        <w:t>Reestruturar as unidades de saúde da rede de serviços do SUS, no sentido de garantir o atendimento à pessoa com deficiência auditiva;</w:t>
      </w:r>
    </w:p>
    <w:p>
      <w:pPr>
        <w:pStyle w:val="PargrafodaLista1"/>
        <w:numPr>
          <w:ilvl w:val="0"/>
          <w:numId w:val="10"/>
        </w:numPr>
        <w:spacing w:lineRule="auto" w:line="360" w:before="120" w:after="120"/>
        <w:ind w:left="1134" w:hanging="567"/>
        <w:jc w:val="both"/>
        <w:rPr>
          <w:rFonts w:ascii="Arial" w:hAnsi="Arial" w:cs="Arial"/>
          <w:sz w:val="24"/>
          <w:szCs w:val="24"/>
        </w:rPr>
      </w:pPr>
      <w:r>
        <w:rPr>
          <w:rFonts w:cs="Arial" w:ascii="Arial" w:hAnsi="Arial"/>
          <w:sz w:val="24"/>
          <w:szCs w:val="24"/>
        </w:rPr>
        <w:t>Utilizar os parâmetros preconizados pelo Ministério da Saúde para avaliação dos serviços;</w:t>
      </w:r>
    </w:p>
    <w:p>
      <w:pPr>
        <w:pStyle w:val="PargrafodaLista1"/>
        <w:numPr>
          <w:ilvl w:val="0"/>
          <w:numId w:val="10"/>
        </w:numPr>
        <w:spacing w:lineRule="auto" w:line="360" w:before="120" w:after="120"/>
        <w:ind w:left="1134" w:hanging="567"/>
        <w:jc w:val="both"/>
        <w:rPr>
          <w:rFonts w:ascii="Arial" w:hAnsi="Arial" w:cs="Arial"/>
          <w:sz w:val="24"/>
          <w:szCs w:val="24"/>
        </w:rPr>
      </w:pPr>
      <w:r>
        <w:rPr>
          <w:rFonts w:cs="Arial" w:ascii="Arial" w:hAnsi="Arial"/>
          <w:sz w:val="24"/>
          <w:szCs w:val="24"/>
        </w:rPr>
        <w:t>Definir as atribuições técnico-administrativas do serviço;</w:t>
      </w:r>
    </w:p>
    <w:p>
      <w:pPr>
        <w:pStyle w:val="PargrafodaLista1"/>
        <w:numPr>
          <w:ilvl w:val="0"/>
          <w:numId w:val="10"/>
        </w:numPr>
        <w:spacing w:lineRule="auto" w:line="360" w:before="120" w:after="120"/>
        <w:ind w:left="1134" w:hanging="567"/>
        <w:jc w:val="both"/>
        <w:rPr>
          <w:rFonts w:ascii="Arial" w:hAnsi="Arial" w:cs="Arial"/>
          <w:sz w:val="24"/>
          <w:szCs w:val="24"/>
        </w:rPr>
      </w:pPr>
      <w:r>
        <w:rPr>
          <w:rFonts w:cs="Arial" w:ascii="Arial" w:hAnsi="Arial"/>
          <w:sz w:val="24"/>
          <w:szCs w:val="24"/>
        </w:rPr>
        <w:t>Orientar e capacitar</w:t>
      </w:r>
      <w:r>
        <w:rPr>
          <w:rFonts w:cs="Arial" w:ascii="Arial" w:hAnsi="Arial"/>
          <w:sz w:val="24"/>
          <w:szCs w:val="24"/>
          <w:shd w:fill="FFFFFF" w:val="clear"/>
        </w:rPr>
        <w:t xml:space="preserve"> os profissionais </w:t>
      </w:r>
      <w:r>
        <w:rPr>
          <w:rFonts w:cs="Arial" w:ascii="Arial" w:hAnsi="Arial"/>
          <w:sz w:val="24"/>
          <w:szCs w:val="24"/>
        </w:rPr>
        <w:t>dos municípios;</w:t>
      </w:r>
    </w:p>
    <w:p>
      <w:pPr>
        <w:pStyle w:val="PargrafodaLista1"/>
        <w:numPr>
          <w:ilvl w:val="0"/>
          <w:numId w:val="10"/>
        </w:numPr>
        <w:spacing w:lineRule="auto" w:line="360" w:before="120" w:after="120"/>
        <w:ind w:left="1134" w:hanging="567"/>
        <w:jc w:val="both"/>
        <w:rPr>
          <w:rFonts w:ascii="Arial" w:hAnsi="Arial" w:cs="Arial"/>
          <w:sz w:val="24"/>
          <w:szCs w:val="24"/>
        </w:rPr>
      </w:pPr>
      <w:r>
        <w:rPr>
          <w:rFonts w:cs="Arial" w:ascii="Arial" w:hAnsi="Arial"/>
          <w:sz w:val="24"/>
          <w:szCs w:val="24"/>
        </w:rPr>
        <w:t>Orientar a descentralização do atendimento nos municípios com a definição do fluxo.</w:t>
      </w:r>
    </w:p>
    <w:p>
      <w:pPr>
        <w:pStyle w:val="Normal"/>
        <w:widowControl/>
        <w:suppressAutoHyphens w:val="false"/>
        <w:overflowPunct w:val="false"/>
        <w:textAlignment w:val="auto"/>
        <w:rPr>
          <w:rFonts w:ascii="Arial" w:hAnsi="Arial" w:cs="Arial"/>
          <w:sz w:val="24"/>
          <w:szCs w:val="24"/>
        </w:rPr>
      </w:pPr>
      <w:r>
        <w:rPr>
          <w:rFonts w:cs="Arial" w:ascii="Arial" w:hAnsi="Arial"/>
          <w:sz w:val="24"/>
          <w:szCs w:val="24"/>
        </w:rPr>
      </w:r>
      <w:r>
        <w:br w:type="page"/>
      </w:r>
    </w:p>
    <w:p>
      <w:pPr>
        <w:pStyle w:val="PargrafodaLista1"/>
        <w:spacing w:lineRule="auto" w:line="360" w:before="120" w:after="120"/>
        <w:ind w:left="0" w:hanging="0"/>
        <w:jc w:val="both"/>
        <w:rPr>
          <w:rFonts w:ascii="Arial" w:hAnsi="Arial" w:cs="Arial"/>
          <w:sz w:val="24"/>
          <w:szCs w:val="24"/>
        </w:rPr>
      </w:pPr>
      <w:r>
        <w:rPr>
          <w:rFonts w:cs="Arial" w:ascii="Arial" w:hAnsi="Arial"/>
          <w:sz w:val="24"/>
          <w:szCs w:val="24"/>
        </w:rPr>
      </w:r>
    </w:p>
    <w:p>
      <w:pPr>
        <w:pStyle w:val="Ttulo1"/>
        <w:numPr>
          <w:ilvl w:val="0"/>
          <w:numId w:val="3"/>
        </w:numPr>
        <w:rPr>
          <w:rFonts w:ascii="Arial" w:hAnsi="Arial" w:cs="Arial"/>
          <w:b/>
          <w:b/>
          <w:sz w:val="24"/>
          <w:szCs w:val="24"/>
        </w:rPr>
      </w:pPr>
      <w:bookmarkStart w:id="19" w:name="_Toc434344418"/>
      <w:bookmarkStart w:id="20" w:name="_Toc434148336"/>
      <w:bookmarkEnd w:id="19"/>
      <w:bookmarkEnd w:id="20"/>
      <w:r>
        <w:rPr>
          <w:rFonts w:cs="Arial" w:ascii="Arial" w:hAnsi="Arial"/>
          <w:b/>
          <w:sz w:val="24"/>
          <w:szCs w:val="24"/>
        </w:rPr>
        <w:t>4 FUNDAMENTAÇÃO LEGAL</w:t>
      </w:r>
    </w:p>
    <w:p>
      <w:pPr>
        <w:pStyle w:val="Normal"/>
        <w:rPr/>
      </w:pPr>
      <w:r>
        <w:rPr/>
      </w:r>
    </w:p>
    <w:p>
      <w:pPr>
        <w:pStyle w:val="Ttulo31"/>
        <w:spacing w:lineRule="auto" w:line="360" w:before="120" w:after="120"/>
        <w:ind w:firstLine="567"/>
        <w:jc w:val="both"/>
        <w:rPr>
          <w:rFonts w:ascii="Arial" w:hAnsi="Arial" w:cs="Arial"/>
          <w:bCs/>
          <w:sz w:val="24"/>
          <w:szCs w:val="24"/>
          <w:highlight w:val="white"/>
        </w:rPr>
      </w:pPr>
      <w:r>
        <w:rPr>
          <w:rFonts w:cs="Arial" w:ascii="Arial" w:hAnsi="Arial"/>
          <w:bCs/>
          <w:sz w:val="24"/>
          <w:szCs w:val="24"/>
          <w:shd w:fill="FFFFFF" w:val="clear"/>
        </w:rPr>
        <w:t xml:space="preserve">No Quadro 3, a seguir, estão arroladas as legislações publicadas no âmbito Federal e Estadual, referentes à saúde auditiva. </w:t>
      </w:r>
    </w:p>
    <w:p>
      <w:pPr>
        <w:pStyle w:val="Normal"/>
        <w:spacing w:lineRule="auto" w:line="360" w:before="120" w:after="120"/>
        <w:ind w:firstLine="567"/>
        <w:jc w:val="center"/>
        <w:rPr/>
      </w:pPr>
      <w:r>
        <w:rPr>
          <w:rFonts w:eastAsia="Microsoft YaHei" w:cs="Arial" w:ascii="Arial" w:hAnsi="Arial"/>
          <w:bCs/>
          <w:shd w:fill="FFFFFF" w:val="clear"/>
        </w:rPr>
        <w:t xml:space="preserve">Quadro 3 - Legislações publicadas no âmbito Federal e Estadual referentes à saúde auditiva. </w:t>
      </w:r>
    </w:p>
    <w:tbl>
      <w:tblPr>
        <w:tblStyle w:val="TabeladaLista3-nfase1"/>
        <w:tblW w:w="8567" w:type="dxa"/>
        <w:jc w:val="left"/>
        <w:tblInd w:w="-23" w:type="dxa"/>
        <w:tblCellMar>
          <w:top w:w="0" w:type="dxa"/>
          <w:left w:w="78" w:type="dxa"/>
          <w:bottom w:w="0" w:type="dxa"/>
          <w:right w:w="108" w:type="dxa"/>
        </w:tblCellMar>
        <w:tblLook w:firstRow="0" w:noVBand="0" w:lastRow="0" w:firstColumn="0" w:lastColumn="0" w:noHBand="0" w:val="0000"/>
      </w:tblPr>
      <w:tblGrid>
        <w:gridCol w:w="8567"/>
      </w:tblGrid>
      <w:tr>
        <w:trPr>
          <w:trHeight w:val="1265" w:hRule="atLeast"/>
          <w:cnfStyle w:val="000000100000" w:firstRow="0" w:lastRow="0" w:firstColumn="0" w:lastColumn="0" w:oddVBand="0" w:evenVBand="0" w:oddHBand="1" w:evenHBand="0" w:firstRowFirstColumn="0" w:firstRowLastColumn="0" w:lastRowFirstColumn="0" w:lastRowLastColumn="0"/>
        </w:trPr>
        <w:tc>
          <w:tcPr>
            <w:tcW w:w="8567" w:type="dxa"/>
            <w:cnfStyle w:val="000010000000" w:firstRow="0" w:lastRow="0" w:firstColumn="0" w:lastColumn="0" w:oddVBand="1" w:evenVBand="0" w:oddHBand="0" w:evenHBand="0" w:firstRowFirstColumn="0" w:firstRowLastColumn="0" w:lastRowFirstColumn="0" w:lastRowLastColumn="0"/>
            <w:tcBorders/>
            <w:shd w:fill="auto" w:val="clear"/>
            <w:tcMar>
              <w:left w:w="78" w:type="dxa"/>
            </w:tcMar>
            <w:vAlign w:val="center"/>
          </w:tcPr>
          <w:p>
            <w:pPr>
              <w:pStyle w:val="Normal"/>
              <w:jc w:val="center"/>
              <w:rPr>
                <w:rFonts w:ascii="Arial" w:hAnsi="Arial" w:cs="Arial"/>
                <w:sz w:val="22"/>
              </w:rPr>
            </w:pPr>
            <w:r>
              <w:rPr>
                <w:rFonts w:cs="Arial" w:ascii="Arial" w:hAnsi="Arial"/>
                <w:sz w:val="22"/>
              </w:rPr>
              <w:t>Portaria MS/GM nº 2.073, de 28 de setembro de 2004*</w:t>
            </w:r>
          </w:p>
          <w:p>
            <w:pPr>
              <w:pStyle w:val="Normal"/>
              <w:jc w:val="center"/>
              <w:rPr>
                <w:rFonts w:ascii="Arial" w:hAnsi="Arial" w:cs="Arial"/>
                <w:sz w:val="22"/>
              </w:rPr>
            </w:pPr>
            <w:r>
              <w:rPr>
                <w:rFonts w:cs="Arial" w:ascii="Arial" w:hAnsi="Arial"/>
                <w:sz w:val="22"/>
              </w:rPr>
              <w:t>Institui a Política Nacional de Atenção à Saúde Auditiva</w:t>
            </w:r>
          </w:p>
          <w:p>
            <w:pPr>
              <w:pStyle w:val="Normal"/>
              <w:jc w:val="center"/>
              <w:rPr>
                <w:rFonts w:ascii="Arial" w:hAnsi="Arial" w:cs="Arial"/>
                <w:sz w:val="22"/>
              </w:rPr>
            </w:pPr>
            <w:r>
              <w:rPr>
                <w:rFonts w:cs="Arial" w:ascii="Arial" w:hAnsi="Arial"/>
                <w:sz w:val="22"/>
              </w:rPr>
            </w:r>
          </w:p>
        </w:tc>
      </w:tr>
      <w:tr>
        <w:trPr>
          <w:trHeight w:val="1265" w:hRule="atLeast"/>
        </w:trPr>
        <w:tc>
          <w:tcPr>
            <w:tcW w:w="8567" w:type="dxa"/>
            <w:cnfStyle w:val="000010000000" w:firstRow="0" w:lastRow="0" w:firstColumn="0" w:lastColumn="0" w:oddVBand="1" w:evenVBand="0" w:oddHBand="0" w:evenHBand="0" w:firstRowFirstColumn="0" w:firstRowLastColumn="0" w:lastRowFirstColumn="0" w:lastRowLastColumn="0"/>
            <w:tcBorders>
              <w:top w:val="nil"/>
              <w:bottom w:val="nil"/>
              <w:insideH w:val="nil"/>
            </w:tcBorders>
            <w:shd w:fill="auto" w:val="clear"/>
            <w:tcMar>
              <w:left w:w="78" w:type="dxa"/>
            </w:tcMar>
            <w:vAlign w:val="center"/>
          </w:tcPr>
          <w:p>
            <w:pPr>
              <w:pStyle w:val="Normal"/>
              <w:jc w:val="center"/>
              <w:rPr>
                <w:rFonts w:ascii="Arial" w:hAnsi="Arial" w:cs="Arial"/>
                <w:sz w:val="22"/>
              </w:rPr>
            </w:pPr>
            <w:r>
              <w:rPr>
                <w:rFonts w:cs="Arial" w:ascii="Arial" w:hAnsi="Arial"/>
                <w:sz w:val="22"/>
              </w:rPr>
              <w:t>Portaria MS/SAS nº 587, de 7 de outubro de 2004*</w:t>
            </w:r>
          </w:p>
          <w:p>
            <w:pPr>
              <w:pStyle w:val="Normal"/>
              <w:jc w:val="center"/>
              <w:rPr>
                <w:rFonts w:ascii="Arial" w:hAnsi="Arial" w:cs="Arial"/>
                <w:sz w:val="22"/>
              </w:rPr>
            </w:pPr>
            <w:r>
              <w:rPr>
                <w:rFonts w:cs="Arial" w:ascii="Arial" w:hAnsi="Arial"/>
                <w:sz w:val="22"/>
              </w:rPr>
            </w:r>
          </w:p>
        </w:tc>
      </w:tr>
      <w:tr>
        <w:trPr>
          <w:trHeight w:val="1265" w:hRule="atLeast"/>
          <w:cnfStyle w:val="000000100000" w:firstRow="0" w:lastRow="0" w:firstColumn="0" w:lastColumn="0" w:oddVBand="0" w:evenVBand="0" w:oddHBand="1" w:evenHBand="0" w:firstRowFirstColumn="0" w:firstRowLastColumn="0" w:lastRowFirstColumn="0" w:lastRowLastColumn="0"/>
        </w:trPr>
        <w:tc>
          <w:tcPr>
            <w:tcW w:w="8567" w:type="dxa"/>
            <w:cnfStyle w:val="000010000000" w:firstRow="0" w:lastRow="0" w:firstColumn="0" w:lastColumn="0" w:oddVBand="1" w:evenVBand="0" w:oddHBand="0" w:evenHBand="0" w:firstRowFirstColumn="0" w:firstRowLastColumn="0" w:lastRowFirstColumn="0" w:lastRowLastColumn="0"/>
            <w:tcBorders/>
            <w:shd w:fill="auto" w:val="clear"/>
            <w:tcMar>
              <w:left w:w="78" w:type="dxa"/>
            </w:tcMar>
            <w:vAlign w:val="center"/>
          </w:tcPr>
          <w:p>
            <w:pPr>
              <w:pStyle w:val="Normal"/>
              <w:jc w:val="center"/>
              <w:rPr>
                <w:rFonts w:ascii="Arial" w:hAnsi="Arial" w:cs="Arial"/>
                <w:sz w:val="22"/>
              </w:rPr>
            </w:pPr>
            <w:r>
              <w:rPr>
                <w:rFonts w:cs="Arial" w:ascii="Arial" w:hAnsi="Arial"/>
                <w:sz w:val="22"/>
              </w:rPr>
              <w:t>Portaria MS/SAS nº 589, de 8 de outubro de 2004</w:t>
            </w:r>
          </w:p>
          <w:p>
            <w:pPr>
              <w:pStyle w:val="Normal"/>
              <w:jc w:val="center"/>
              <w:rPr>
                <w:rFonts w:ascii="Arial" w:hAnsi="Arial" w:cs="Arial"/>
                <w:sz w:val="22"/>
              </w:rPr>
            </w:pPr>
            <w:r>
              <w:rPr>
                <w:rFonts w:cs="Arial" w:ascii="Arial" w:hAnsi="Arial"/>
                <w:sz w:val="22"/>
              </w:rPr>
            </w:r>
          </w:p>
        </w:tc>
      </w:tr>
      <w:tr>
        <w:trPr>
          <w:trHeight w:val="1265" w:hRule="atLeast"/>
        </w:trPr>
        <w:tc>
          <w:tcPr>
            <w:tcW w:w="8567" w:type="dxa"/>
            <w:cnfStyle w:val="000010000000" w:firstRow="0" w:lastRow="0" w:firstColumn="0" w:lastColumn="0" w:oddVBand="1" w:evenVBand="0" w:oddHBand="0" w:evenHBand="0" w:firstRowFirstColumn="0" w:firstRowLastColumn="0" w:lastRowFirstColumn="0" w:lastRowLastColumn="0"/>
            <w:tcBorders>
              <w:top w:val="nil"/>
              <w:bottom w:val="nil"/>
              <w:insideH w:val="nil"/>
            </w:tcBorders>
            <w:shd w:fill="auto" w:val="clear"/>
            <w:tcMar>
              <w:left w:w="78" w:type="dxa"/>
            </w:tcMar>
            <w:vAlign w:val="center"/>
          </w:tcPr>
          <w:p>
            <w:pPr>
              <w:pStyle w:val="Normal"/>
              <w:jc w:val="center"/>
              <w:rPr>
                <w:rFonts w:ascii="Arial" w:hAnsi="Arial" w:cs="Arial"/>
                <w:sz w:val="22"/>
              </w:rPr>
            </w:pPr>
            <w:r>
              <w:rPr>
                <w:rFonts w:cs="Arial" w:ascii="Arial" w:hAnsi="Arial"/>
                <w:sz w:val="22"/>
              </w:rPr>
              <w:t>Deliberação 008/CIB/05 (SES/SC), de 22 de março de 2005</w:t>
            </w:r>
          </w:p>
          <w:p>
            <w:pPr>
              <w:pStyle w:val="Normal"/>
              <w:jc w:val="center"/>
              <w:rPr>
                <w:rFonts w:ascii="Arial" w:hAnsi="Arial" w:eastAsia="Arial" w:cs="Arial"/>
                <w:sz w:val="22"/>
              </w:rPr>
            </w:pPr>
            <w:r>
              <w:rPr>
                <w:rFonts w:cs="Arial" w:ascii="Arial" w:hAnsi="Arial"/>
                <w:sz w:val="22"/>
              </w:rPr>
              <w:t>Anexo: Plano para a Organização da Rede de Assistência à Pessoa Portadora de Deficiência Auditiva em Santa Catarina</w:t>
            </w:r>
          </w:p>
          <w:p>
            <w:pPr>
              <w:pStyle w:val="Normal"/>
              <w:jc w:val="center"/>
              <w:rPr>
                <w:rFonts w:ascii="Arial" w:hAnsi="Arial" w:eastAsia="Arial" w:cs="Arial"/>
                <w:sz w:val="22"/>
              </w:rPr>
            </w:pPr>
            <w:r>
              <w:rPr>
                <w:rFonts w:eastAsia="Arial" w:cs="Arial" w:ascii="Arial" w:hAnsi="Arial"/>
                <w:sz w:val="22"/>
              </w:rPr>
            </w:r>
          </w:p>
        </w:tc>
      </w:tr>
      <w:tr>
        <w:trPr>
          <w:trHeight w:val="1265" w:hRule="atLeast"/>
          <w:cnfStyle w:val="000000100000" w:firstRow="0" w:lastRow="0" w:firstColumn="0" w:lastColumn="0" w:oddVBand="0" w:evenVBand="0" w:oddHBand="1" w:evenHBand="0" w:firstRowFirstColumn="0" w:firstRowLastColumn="0" w:lastRowFirstColumn="0" w:lastRowLastColumn="0"/>
        </w:trPr>
        <w:tc>
          <w:tcPr>
            <w:tcW w:w="8567" w:type="dxa"/>
            <w:cnfStyle w:val="000010000000" w:firstRow="0" w:lastRow="0" w:firstColumn="0" w:lastColumn="0" w:oddVBand="1" w:evenVBand="0" w:oddHBand="0" w:evenHBand="0" w:firstRowFirstColumn="0" w:firstRowLastColumn="0" w:lastRowFirstColumn="0" w:lastRowLastColumn="0"/>
            <w:tcBorders/>
            <w:shd w:fill="auto" w:val="clear"/>
            <w:tcMar>
              <w:left w:w="78" w:type="dxa"/>
            </w:tcMar>
            <w:vAlign w:val="center"/>
          </w:tcPr>
          <w:p>
            <w:pPr>
              <w:pStyle w:val="Normal"/>
              <w:jc w:val="center"/>
              <w:rPr>
                <w:rFonts w:ascii="Arial" w:hAnsi="Arial" w:eastAsia="SimSun" w:cs="Arial"/>
                <w:sz w:val="22"/>
                <w:lang w:bidi="hi-IN"/>
              </w:rPr>
            </w:pPr>
            <w:r>
              <w:rPr>
                <w:rFonts w:cs="Arial" w:ascii="Arial" w:hAnsi="Arial"/>
                <w:sz w:val="22"/>
              </w:rPr>
              <w:t>Portaria MS nº 1097, de 22 de maio de 2006</w:t>
            </w:r>
          </w:p>
          <w:p>
            <w:pPr>
              <w:pStyle w:val="Normal"/>
              <w:jc w:val="center"/>
              <w:rPr>
                <w:rFonts w:ascii="Arial" w:hAnsi="Arial" w:cs="Arial"/>
                <w:sz w:val="22"/>
              </w:rPr>
            </w:pPr>
            <w:r>
              <w:rPr>
                <w:rFonts w:eastAsia="SimSun" w:cs="Arial" w:ascii="Arial" w:hAnsi="Arial"/>
                <w:sz w:val="22"/>
                <w:lang w:bidi="hi-IN"/>
              </w:rPr>
              <w:t>Define o processo da Programação Pactuada e Integrada da Assistência em Saúde seja um processo instituído no âmbito do Sistema Único de Saúde</w:t>
            </w:r>
          </w:p>
          <w:p>
            <w:pPr>
              <w:pStyle w:val="Normal"/>
              <w:jc w:val="center"/>
              <w:rPr>
                <w:rFonts w:ascii="Arial" w:hAnsi="Arial" w:cs="Arial"/>
                <w:sz w:val="22"/>
              </w:rPr>
            </w:pPr>
            <w:r>
              <w:rPr>
                <w:rFonts w:cs="Arial" w:ascii="Arial" w:hAnsi="Arial"/>
                <w:sz w:val="22"/>
              </w:rPr>
            </w:r>
          </w:p>
        </w:tc>
      </w:tr>
      <w:tr>
        <w:trPr>
          <w:trHeight w:val="1265" w:hRule="atLeast"/>
        </w:trPr>
        <w:tc>
          <w:tcPr>
            <w:tcW w:w="8567" w:type="dxa"/>
            <w:cnfStyle w:val="000010000000" w:firstRow="0" w:lastRow="0" w:firstColumn="0" w:lastColumn="0" w:oddVBand="1" w:evenVBand="0" w:oddHBand="0" w:evenHBand="0" w:firstRowFirstColumn="0" w:firstRowLastColumn="0" w:lastRowFirstColumn="0" w:lastRowLastColumn="0"/>
            <w:tcBorders>
              <w:top w:val="nil"/>
              <w:bottom w:val="nil"/>
              <w:insideH w:val="nil"/>
            </w:tcBorders>
            <w:shd w:fill="auto" w:val="clear"/>
            <w:tcMar>
              <w:left w:w="78" w:type="dxa"/>
            </w:tcMar>
            <w:vAlign w:val="center"/>
          </w:tcPr>
          <w:p>
            <w:pPr>
              <w:pStyle w:val="Normal"/>
              <w:jc w:val="center"/>
              <w:rPr>
                <w:rFonts w:ascii="Arial" w:hAnsi="Arial" w:eastAsia="Arial" w:cs="Arial"/>
                <w:sz w:val="22"/>
                <w:lang w:bidi="hi-IN"/>
              </w:rPr>
            </w:pPr>
            <w:r>
              <w:rPr>
                <w:rFonts w:eastAsia="SimSun" w:cs="Arial" w:ascii="Arial" w:hAnsi="Arial"/>
                <w:sz w:val="22"/>
                <w:lang w:bidi="hi-IN"/>
              </w:rPr>
              <w:t>Deliberação 102/CIB/08, de 03 de julho de 2008</w:t>
            </w:r>
          </w:p>
          <w:p>
            <w:pPr>
              <w:pStyle w:val="Normal"/>
              <w:jc w:val="center"/>
              <w:rPr>
                <w:rFonts w:ascii="Arial" w:hAnsi="Arial" w:eastAsia="Arial" w:cs="Arial"/>
                <w:sz w:val="22"/>
                <w:lang w:bidi="hi-IN"/>
              </w:rPr>
            </w:pPr>
            <w:r>
              <w:rPr>
                <w:rFonts w:eastAsia="Arial" w:cs="Arial" w:ascii="Arial" w:hAnsi="Arial"/>
                <w:sz w:val="22"/>
                <w:lang w:bidi="hi-IN"/>
              </w:rPr>
              <w:t xml:space="preserve">Anexo II: </w:t>
            </w:r>
            <w:r>
              <w:rPr>
                <w:rFonts w:eastAsia="SimSun" w:cs="Arial" w:ascii="Arial" w:hAnsi="Arial"/>
                <w:sz w:val="22"/>
                <w:lang w:bidi="hi-IN"/>
              </w:rPr>
              <w:t>Manual Operativo de Atenção à Pessoa Portadora de Deficiência Auditiva no Estado de Santa Catarina</w:t>
            </w:r>
          </w:p>
          <w:p>
            <w:pPr>
              <w:pStyle w:val="Normal"/>
              <w:jc w:val="center"/>
              <w:rPr>
                <w:rFonts w:ascii="Arial" w:hAnsi="Arial" w:eastAsia="Arial" w:cs="Arial"/>
                <w:sz w:val="22"/>
                <w:lang w:bidi="hi-IN"/>
              </w:rPr>
            </w:pPr>
            <w:r>
              <w:rPr>
                <w:rFonts w:eastAsia="Arial" w:cs="Arial" w:ascii="Arial" w:hAnsi="Arial"/>
                <w:sz w:val="22"/>
                <w:lang w:bidi="hi-IN"/>
              </w:rPr>
            </w:r>
          </w:p>
        </w:tc>
      </w:tr>
      <w:tr>
        <w:trPr>
          <w:trHeight w:val="1265" w:hRule="atLeast"/>
          <w:cnfStyle w:val="000000100000" w:firstRow="0" w:lastRow="0" w:firstColumn="0" w:lastColumn="0" w:oddVBand="0" w:evenVBand="0" w:oddHBand="1" w:evenHBand="0" w:firstRowFirstColumn="0" w:firstRowLastColumn="0" w:lastRowFirstColumn="0" w:lastRowLastColumn="0"/>
        </w:trPr>
        <w:tc>
          <w:tcPr>
            <w:tcW w:w="8567" w:type="dxa"/>
            <w:cnfStyle w:val="000010000000" w:firstRow="0" w:lastRow="0" w:firstColumn="0" w:lastColumn="0" w:oddVBand="1" w:evenVBand="0" w:oddHBand="0" w:evenHBand="0" w:firstRowFirstColumn="0" w:firstRowLastColumn="0" w:lastRowFirstColumn="0" w:lastRowLastColumn="0"/>
            <w:tcBorders/>
            <w:shd w:fill="auto" w:val="clear"/>
            <w:tcMar>
              <w:left w:w="78" w:type="dxa"/>
            </w:tcMar>
            <w:vAlign w:val="center"/>
          </w:tcPr>
          <w:p>
            <w:pPr>
              <w:pStyle w:val="Normal"/>
              <w:jc w:val="center"/>
              <w:rPr>
                <w:rFonts w:ascii="Arial" w:hAnsi="Arial" w:cs="Arial"/>
                <w:sz w:val="22"/>
              </w:rPr>
            </w:pPr>
            <w:r>
              <w:rPr>
                <w:rFonts w:eastAsia="SimSun" w:cs="Arial" w:ascii="Arial" w:hAnsi="Arial"/>
                <w:sz w:val="22"/>
                <w:lang w:bidi="hi-IN"/>
              </w:rPr>
              <w:t>Deliberação 423/CIB/10, de 15 de outubro de 2010</w:t>
            </w:r>
          </w:p>
          <w:p>
            <w:pPr>
              <w:pStyle w:val="Normal"/>
              <w:jc w:val="center"/>
              <w:rPr>
                <w:rFonts w:ascii="Arial" w:hAnsi="Arial" w:cs="Arial"/>
                <w:sz w:val="22"/>
              </w:rPr>
            </w:pPr>
            <w:r>
              <w:rPr>
                <w:rFonts w:cs="Arial" w:ascii="Arial" w:hAnsi="Arial"/>
                <w:sz w:val="22"/>
              </w:rPr>
            </w:r>
          </w:p>
        </w:tc>
      </w:tr>
      <w:tr>
        <w:trPr>
          <w:trHeight w:val="1265" w:hRule="atLeast"/>
        </w:trPr>
        <w:tc>
          <w:tcPr>
            <w:tcW w:w="8567" w:type="dxa"/>
            <w:cnfStyle w:val="000010000000" w:firstRow="0" w:lastRow="0" w:firstColumn="0" w:lastColumn="0" w:oddVBand="1" w:evenVBand="0" w:oddHBand="0" w:evenHBand="0" w:firstRowFirstColumn="0" w:firstRowLastColumn="0" w:lastRowFirstColumn="0" w:lastRowLastColumn="0"/>
            <w:tcBorders>
              <w:top w:val="nil"/>
              <w:bottom w:val="nil"/>
              <w:insideH w:val="nil"/>
            </w:tcBorders>
            <w:shd w:fill="auto" w:val="clear"/>
            <w:tcMar>
              <w:left w:w="78" w:type="dxa"/>
            </w:tcMar>
            <w:vAlign w:val="center"/>
          </w:tcPr>
          <w:p>
            <w:pPr>
              <w:pStyle w:val="Normal"/>
              <w:jc w:val="center"/>
              <w:rPr>
                <w:rFonts w:ascii="Arial" w:hAnsi="Arial" w:cs="Arial"/>
                <w:sz w:val="22"/>
              </w:rPr>
            </w:pPr>
            <w:r>
              <w:rPr>
                <w:rFonts w:cs="Arial" w:ascii="Arial" w:hAnsi="Arial"/>
                <w:sz w:val="22"/>
              </w:rPr>
              <w:t>Decreto nº 7.612, de 17 de novembro de 2011</w:t>
            </w:r>
          </w:p>
          <w:p>
            <w:pPr>
              <w:pStyle w:val="Normal"/>
              <w:jc w:val="center"/>
              <w:rPr>
                <w:rFonts w:ascii="Arial" w:hAnsi="Arial" w:cs="Arial"/>
                <w:sz w:val="22"/>
              </w:rPr>
            </w:pPr>
            <w:r>
              <w:rPr>
                <w:rFonts w:cs="Arial" w:ascii="Arial" w:hAnsi="Arial"/>
                <w:sz w:val="22"/>
              </w:rPr>
              <w:t>Institui o Plano Nacional dos Direitos da pessoa com Deficiência - Plano Viver sem Limites</w:t>
            </w:r>
          </w:p>
          <w:p>
            <w:pPr>
              <w:pStyle w:val="Normal"/>
              <w:jc w:val="center"/>
              <w:rPr>
                <w:rFonts w:ascii="Arial" w:hAnsi="Arial" w:cs="Arial"/>
                <w:sz w:val="22"/>
              </w:rPr>
            </w:pPr>
            <w:r>
              <w:rPr>
                <w:rFonts w:cs="Arial" w:ascii="Arial" w:hAnsi="Arial"/>
                <w:sz w:val="22"/>
              </w:rPr>
            </w:r>
          </w:p>
        </w:tc>
      </w:tr>
      <w:tr>
        <w:trPr>
          <w:trHeight w:val="1265" w:hRule="atLeast"/>
          <w:cnfStyle w:val="000000100000" w:firstRow="0" w:lastRow="0" w:firstColumn="0" w:lastColumn="0" w:oddVBand="0" w:evenVBand="0" w:oddHBand="1" w:evenHBand="0" w:firstRowFirstColumn="0" w:firstRowLastColumn="0" w:lastRowFirstColumn="0" w:lastRowLastColumn="0"/>
        </w:trPr>
        <w:tc>
          <w:tcPr>
            <w:tcW w:w="8567" w:type="dxa"/>
            <w:cnfStyle w:val="000010000000" w:firstRow="0" w:lastRow="0" w:firstColumn="0" w:lastColumn="0" w:oddVBand="1" w:evenVBand="0" w:oddHBand="0" w:evenHBand="0" w:firstRowFirstColumn="0" w:firstRowLastColumn="0" w:lastRowFirstColumn="0" w:lastRowLastColumn="0"/>
            <w:tcBorders/>
            <w:shd w:fill="auto" w:val="clear"/>
            <w:tcMar>
              <w:top w:w="55" w:type="dxa"/>
              <w:left w:w="78" w:type="dxa"/>
              <w:bottom w:w="55" w:type="dxa"/>
            </w:tcMar>
            <w:vAlign w:val="center"/>
          </w:tcPr>
          <w:p>
            <w:pPr>
              <w:pStyle w:val="Normal"/>
              <w:jc w:val="center"/>
              <w:rPr>
                <w:rFonts w:ascii="Arial" w:hAnsi="Arial" w:cs="Arial"/>
                <w:sz w:val="22"/>
              </w:rPr>
            </w:pPr>
            <w:r>
              <w:rPr>
                <w:rFonts w:cs="Arial" w:ascii="Arial" w:hAnsi="Arial"/>
                <w:sz w:val="22"/>
              </w:rPr>
              <w:t>Portaria MS/GM nº 793, de 24 de abril de 2012</w:t>
            </w:r>
          </w:p>
          <w:p>
            <w:pPr>
              <w:pStyle w:val="Normal"/>
              <w:jc w:val="center"/>
              <w:rPr>
                <w:rFonts w:ascii="Arial" w:hAnsi="Arial" w:cs="Arial"/>
                <w:sz w:val="22"/>
              </w:rPr>
            </w:pPr>
            <w:r>
              <w:rPr>
                <w:rFonts w:cs="Arial" w:ascii="Arial" w:hAnsi="Arial"/>
                <w:sz w:val="22"/>
              </w:rPr>
              <w:t>Institui a Rede de Cuidados à Pessoa com Deficiência no Sistema Único de Saúde</w:t>
            </w:r>
          </w:p>
          <w:p>
            <w:pPr>
              <w:pStyle w:val="Normal"/>
              <w:jc w:val="center"/>
              <w:rPr>
                <w:rFonts w:ascii="Arial" w:hAnsi="Arial" w:cs="Arial"/>
                <w:sz w:val="22"/>
              </w:rPr>
            </w:pPr>
            <w:r>
              <w:rPr>
                <w:rFonts w:cs="Arial" w:ascii="Arial" w:hAnsi="Arial"/>
                <w:sz w:val="22"/>
              </w:rPr>
            </w:r>
          </w:p>
        </w:tc>
      </w:tr>
      <w:tr>
        <w:trPr>
          <w:trHeight w:val="1265" w:hRule="atLeast"/>
          <w:cnfStyle w:val="000000100000" w:firstRow="0" w:lastRow="0" w:firstColumn="0" w:lastColumn="0" w:oddVBand="0" w:evenVBand="0" w:oddHBand="1" w:evenHBand="0" w:firstRowFirstColumn="0" w:firstRowLastColumn="0" w:lastRowFirstColumn="0" w:lastRowLastColumn="0"/>
        </w:trPr>
        <w:tc>
          <w:tcPr>
            <w:tcW w:w="8567" w:type="dxa"/>
            <w:cnfStyle w:val="000010000000" w:firstRow="0" w:lastRow="0" w:firstColumn="0" w:lastColumn="0" w:oddVBand="1" w:evenVBand="0" w:oddHBand="0" w:evenHBand="0" w:firstRowFirstColumn="0" w:firstRowLastColumn="0" w:lastRowFirstColumn="0" w:lastRowLastColumn="0"/>
            <w:tcBorders>
              <w:top w:val="nil"/>
              <w:left w:val="single" w:sz="8" w:space="0" w:color="4F81BD"/>
              <w:bottom w:val="nil"/>
              <w:right w:val="single" w:sz="8" w:space="0" w:color="4F81BD"/>
              <w:insideH w:val="nil"/>
              <w:insideV w:val="single" w:sz="8" w:space="0" w:color="4F81BD"/>
            </w:tcBorders>
            <w:shd w:fill="auto" w:val="clear"/>
            <w:tcMar>
              <w:top w:w="55" w:type="dxa"/>
              <w:left w:w="58" w:type="dxa"/>
              <w:bottom w:w="55" w:type="dxa"/>
            </w:tcMar>
            <w:vAlign w:val="center"/>
          </w:tcPr>
          <w:p>
            <w:pPr>
              <w:pStyle w:val="Normal"/>
              <w:spacing w:lineRule="auto" w:line="360" w:before="0" w:after="0"/>
              <w:ind w:left="0" w:right="-41" w:firstLine="11"/>
              <w:jc w:val="center"/>
              <w:rPr>
                <w:rFonts w:ascii="Arial" w:hAnsi="Arial" w:eastAsia="SimSun" w:cs="Arial"/>
                <w:b w:val="false"/>
                <w:b w:val="false"/>
                <w:bCs w:val="false"/>
                <w:color w:val="FF0000"/>
                <w:sz w:val="22"/>
                <w:szCs w:val="20"/>
                <w:lang w:val="pt-BR" w:eastAsia="zh-CN" w:bidi="hi-IN"/>
              </w:rPr>
            </w:pPr>
            <w:r>
              <w:rPr>
                <w:rFonts w:eastAsia="SimSun" w:cs="Arial" w:ascii="Arial" w:hAnsi="Arial"/>
                <w:b w:val="false"/>
                <w:bCs w:val="false"/>
                <w:i w:val="false"/>
                <w:caps w:val="false"/>
                <w:smallCaps w:val="false"/>
                <w:color w:val="000000"/>
                <w:spacing w:val="0"/>
                <w:sz w:val="22"/>
                <w:szCs w:val="20"/>
                <w:lang w:val="pt-BR" w:eastAsia="zh-CN" w:bidi="hi-IN"/>
              </w:rPr>
              <w:t>Deliberação 460/CIB/12, de 08 de novembro de 2012*</w:t>
            </w:r>
          </w:p>
          <w:p>
            <w:pPr>
              <w:pStyle w:val="Normal"/>
              <w:widowControl w:val="false"/>
              <w:suppressAutoHyphens w:val="true"/>
              <w:overflowPunct w:val="true"/>
              <w:bidi w:val="0"/>
              <w:ind w:left="0" w:right="0" w:hanging="0"/>
              <w:jc w:val="both"/>
              <w:textAlignment w:val="baseline"/>
              <w:rPr>
                <w:rFonts w:ascii="Arial" w:hAnsi="Arial" w:eastAsia="Times New Roman" w:cs="Arial"/>
                <w:color w:val="FF0000"/>
                <w:sz w:val="22"/>
                <w:szCs w:val="20"/>
                <w:lang w:val="pt-BR" w:eastAsia="zh-CN" w:bidi="ar-SA"/>
              </w:rPr>
            </w:pPr>
            <w:r>
              <w:rPr>
                <w:rFonts w:eastAsia="Times New Roman" w:cs="Arial" w:ascii="Arial" w:hAnsi="Arial"/>
                <w:b w:val="false"/>
                <w:i w:val="false"/>
                <w:caps w:val="false"/>
                <w:smallCaps w:val="false"/>
                <w:color w:val="000000"/>
                <w:spacing w:val="0"/>
                <w:sz w:val="22"/>
                <w:szCs w:val="20"/>
                <w:lang w:val="pt-BR" w:eastAsia="zh-CN" w:bidi="ar-SA"/>
              </w:rPr>
              <w:t>Aprova os novos Termos de Compromisso para a Saúde Auditiva, a serem firmados com os Gestores e Prestadores deste Serviço (anexo1); As Diretrizes do Serviço de Saúde Auditiva no Estado de Santa Catarina conforme Portaria GM/MS 793/12 (anexo 2); Instrutivo de Avaliação para Nortear o Acesso à Saúde Auditiva na Atenção Básica (anexo3) e o incremento no teto dos Municípios Gestores dos Serviços para atendimento dos procedimentos de acompanhamento em Saúde Auditiva (anexo4).</w:t>
            </w:r>
          </w:p>
        </w:tc>
      </w:tr>
      <w:tr>
        <w:trPr>
          <w:trHeight w:val="1265" w:hRule="atLeast"/>
        </w:trPr>
        <w:tc>
          <w:tcPr>
            <w:tcW w:w="8567" w:type="dxa"/>
            <w:cnfStyle w:val="000010000000" w:firstRow="0" w:lastRow="0" w:firstColumn="0" w:lastColumn="0" w:oddVBand="1" w:evenVBand="0" w:oddHBand="0" w:evenHBand="0" w:firstRowFirstColumn="0" w:firstRowLastColumn="0" w:lastRowFirstColumn="0" w:lastRowLastColumn="0"/>
            <w:tcBorders>
              <w:top w:val="nil"/>
              <w:left w:val="single" w:sz="8" w:space="0" w:color="4F81BD"/>
              <w:right w:val="single" w:sz="8" w:space="0" w:color="4F81BD"/>
              <w:insideV w:val="single" w:sz="8" w:space="0" w:color="4F81BD"/>
            </w:tcBorders>
            <w:shd w:fill="auto" w:val="clear"/>
            <w:tcMar>
              <w:top w:w="55" w:type="dxa"/>
              <w:left w:w="58" w:type="dxa"/>
              <w:bottom w:w="55" w:type="dxa"/>
            </w:tcMar>
            <w:vAlign w:val="center"/>
          </w:tcPr>
          <w:p>
            <w:pPr>
              <w:pStyle w:val="Normal"/>
              <w:numPr>
                <w:ilvl w:val="0"/>
                <w:numId w:val="6"/>
              </w:numPr>
              <w:jc w:val="center"/>
              <w:rPr>
                <w:rFonts w:ascii="Arial" w:hAnsi="Arial" w:eastAsia="SimSun" w:cs="Arial"/>
                <w:sz w:val="22"/>
                <w:lang w:bidi="hi-IN"/>
              </w:rPr>
            </w:pPr>
            <w:bookmarkStart w:id="21" w:name="__RefHeading__2725_41855624"/>
            <w:bookmarkEnd w:id="21"/>
            <w:r>
              <w:rPr>
                <w:rFonts w:eastAsia="SimSun" w:cs="Arial" w:ascii="Arial" w:hAnsi="Arial"/>
                <w:sz w:val="22"/>
                <w:lang w:bidi="hi-IN"/>
              </w:rPr>
              <w:t>Portaria nº 1.274, de 25 de junho de 2013</w:t>
            </w:r>
          </w:p>
          <w:p>
            <w:pPr>
              <w:pStyle w:val="Normal"/>
              <w:numPr>
                <w:ilvl w:val="0"/>
                <w:numId w:val="6"/>
              </w:numPr>
              <w:jc w:val="center"/>
              <w:rPr>
                <w:rFonts w:ascii="Arial" w:hAnsi="Arial" w:cs="Arial"/>
                <w:sz w:val="22"/>
              </w:rPr>
            </w:pPr>
            <w:bookmarkStart w:id="22" w:name="__RefHeading__2727_41855624"/>
            <w:bookmarkEnd w:id="22"/>
            <w:r>
              <w:rPr>
                <w:rFonts w:eastAsia="SimSun" w:cs="Arial" w:ascii="Arial" w:hAnsi="Arial"/>
                <w:sz w:val="22"/>
                <w:lang w:bidi="hi-IN"/>
              </w:rPr>
              <w:t>Inclui o Procedimento de Sistema de Frequência Modulada Pessoal (FM) na Tabela de Procedimentos, Medicamentos, Órteses, Próteses e Materiais Especiais (OPM) do Sistema Único de Saúde</w:t>
            </w:r>
          </w:p>
          <w:p>
            <w:pPr>
              <w:pStyle w:val="Normal"/>
              <w:jc w:val="center"/>
              <w:rPr>
                <w:rFonts w:ascii="Arial" w:hAnsi="Arial" w:cs="Arial"/>
                <w:sz w:val="22"/>
              </w:rPr>
            </w:pPr>
            <w:r>
              <w:rPr>
                <w:rFonts w:cs="Arial" w:ascii="Arial" w:hAnsi="Arial"/>
                <w:sz w:val="22"/>
              </w:rPr>
            </w:r>
          </w:p>
        </w:tc>
      </w:tr>
      <w:tr>
        <w:trPr>
          <w:trHeight w:val="1265" w:hRule="atLeast"/>
          <w:cnfStyle w:val="000000100000" w:firstRow="0" w:lastRow="0" w:firstColumn="0" w:lastColumn="0" w:oddVBand="0" w:evenVBand="0" w:oddHBand="1" w:evenHBand="0" w:firstRowFirstColumn="0" w:firstRowLastColumn="0" w:lastRowFirstColumn="0" w:lastRowLastColumn="0"/>
        </w:trPr>
        <w:tc>
          <w:tcPr>
            <w:tcW w:w="8567" w:type="dxa"/>
            <w:cnfStyle w:val="000010000000" w:firstRow="0" w:lastRow="0" w:firstColumn="0" w:lastColumn="0" w:oddVBand="1" w:evenVBand="0" w:oddHBand="0" w:evenHBand="0" w:firstRowFirstColumn="0" w:firstRowLastColumn="0" w:lastRowFirstColumn="0" w:lastRowLastColumn="0"/>
            <w:tcBorders>
              <w:top w:val="nil"/>
              <w:bottom w:val="nil"/>
              <w:insideH w:val="nil"/>
            </w:tcBorders>
            <w:shd w:fill="auto" w:val="clear"/>
            <w:tcMar>
              <w:top w:w="55" w:type="dxa"/>
              <w:left w:w="78" w:type="dxa"/>
              <w:bottom w:w="55" w:type="dxa"/>
            </w:tcMar>
            <w:vAlign w:val="center"/>
          </w:tcPr>
          <w:p>
            <w:pPr>
              <w:pStyle w:val="Normal"/>
              <w:jc w:val="center"/>
              <w:rPr>
                <w:rFonts w:ascii="Arial" w:hAnsi="Arial" w:cs="Arial"/>
                <w:sz w:val="22"/>
              </w:rPr>
            </w:pPr>
            <w:r>
              <w:rPr>
                <w:rFonts w:cs="Arial" w:ascii="Arial" w:hAnsi="Arial"/>
                <w:sz w:val="22"/>
              </w:rPr>
              <w:t>Instrutivos de reabilitação auditiva, física, intelectual e visual (CER e serviços habilitados em uma única modalidade), versão atualizada em 10 de abril de 2013</w:t>
            </w:r>
          </w:p>
          <w:p>
            <w:pPr>
              <w:pStyle w:val="Normal"/>
              <w:jc w:val="center"/>
              <w:rPr>
                <w:rFonts w:ascii="Arial" w:hAnsi="Arial" w:cs="Arial"/>
                <w:sz w:val="22"/>
              </w:rPr>
            </w:pPr>
            <w:r>
              <w:rPr>
                <w:rFonts w:cs="Arial" w:ascii="Arial" w:hAnsi="Arial"/>
                <w:sz w:val="22"/>
              </w:rPr>
            </w:r>
          </w:p>
        </w:tc>
      </w:tr>
      <w:tr>
        <w:trPr>
          <w:trHeight w:val="1265" w:hRule="atLeast"/>
        </w:trPr>
        <w:tc>
          <w:tcPr>
            <w:tcW w:w="8567" w:type="dxa"/>
            <w:cnfStyle w:val="000010000000" w:firstRow="0" w:lastRow="0" w:firstColumn="0" w:lastColumn="0" w:oddVBand="1" w:evenVBand="0" w:oddHBand="0" w:evenHBand="0" w:firstRowFirstColumn="0" w:firstRowLastColumn="0" w:lastRowFirstColumn="0" w:lastRowLastColumn="0"/>
            <w:tcBorders>
              <w:top w:val="nil"/>
            </w:tcBorders>
            <w:shd w:fill="auto" w:val="clear"/>
            <w:tcMar>
              <w:top w:w="55" w:type="dxa"/>
              <w:left w:w="78" w:type="dxa"/>
              <w:bottom w:w="55" w:type="dxa"/>
            </w:tcMar>
            <w:vAlign w:val="center"/>
          </w:tcPr>
          <w:p>
            <w:pPr>
              <w:pStyle w:val="Normal"/>
              <w:jc w:val="center"/>
              <w:rPr>
                <w:rFonts w:ascii="Arial" w:hAnsi="Arial" w:cs="Arial"/>
                <w:sz w:val="22"/>
              </w:rPr>
            </w:pPr>
            <w:r>
              <w:rPr>
                <w:rFonts w:cs="Arial" w:ascii="Arial" w:hAnsi="Arial"/>
                <w:sz w:val="22"/>
              </w:rPr>
              <w:t>Portaria nº 2.776, de 18 de dezembro de 2014</w:t>
            </w:r>
          </w:p>
          <w:p>
            <w:pPr>
              <w:pStyle w:val="Normal"/>
              <w:jc w:val="center"/>
              <w:rPr>
                <w:rFonts w:ascii="Arial" w:hAnsi="Arial" w:cs="Arial"/>
                <w:sz w:val="22"/>
              </w:rPr>
            </w:pPr>
            <w:r>
              <w:rPr>
                <w:rFonts w:cs="Arial" w:ascii="Arial" w:hAnsi="Arial"/>
                <w:sz w:val="22"/>
              </w:rPr>
              <w:t>Aprova diretrizes gerais, amplia e incorpora procedimentos para a Atenção Especializada às Pessoas com Deficiência Auditiva no Sistema Único de Saúde</w:t>
            </w:r>
          </w:p>
          <w:p>
            <w:pPr>
              <w:pStyle w:val="Normal"/>
              <w:jc w:val="center"/>
              <w:rPr>
                <w:rFonts w:ascii="Arial" w:hAnsi="Arial" w:cs="Arial"/>
                <w:sz w:val="22"/>
              </w:rPr>
            </w:pPr>
            <w:r>
              <w:rPr>
                <w:rFonts w:cs="Arial" w:ascii="Arial" w:hAnsi="Arial"/>
                <w:sz w:val="22"/>
              </w:rPr>
            </w:r>
          </w:p>
        </w:tc>
      </w:tr>
      <w:tr>
        <w:trPr>
          <w:trHeight w:val="1265" w:hRule="atLeast"/>
        </w:trPr>
        <w:tc>
          <w:tcPr>
            <w:tcW w:w="8567" w:type="dxa"/>
            <w:cnfStyle w:val="000010000000" w:firstRow="0" w:lastRow="0" w:firstColumn="0" w:lastColumn="0" w:oddVBand="1" w:evenVBand="0" w:oddHBand="0" w:evenHBand="0" w:firstRowFirstColumn="0" w:firstRowLastColumn="0" w:lastRowFirstColumn="0" w:lastRowLastColumn="0"/>
            <w:tcBorders>
              <w:top w:val="nil"/>
              <w:bottom w:val="nil"/>
              <w:insideH w:val="nil"/>
            </w:tcBorders>
            <w:shd w:fill="auto" w:val="clear"/>
            <w:tcMar>
              <w:top w:w="55" w:type="dxa"/>
              <w:left w:w="78" w:type="dxa"/>
              <w:bottom w:w="55" w:type="dxa"/>
            </w:tcMar>
            <w:vAlign w:val="center"/>
          </w:tcPr>
          <w:p>
            <w:pPr>
              <w:pStyle w:val="Normal"/>
              <w:jc w:val="center"/>
              <w:rPr>
                <w:color w:val="FF0000"/>
              </w:rPr>
            </w:pPr>
            <w:r>
              <w:rPr>
                <w:rFonts w:eastAsia="SimSun" w:cs="Arial" w:ascii="Arial" w:hAnsi="Arial"/>
                <w:b w:val="false"/>
                <w:i w:val="false"/>
                <w:caps w:val="false"/>
                <w:smallCaps w:val="false"/>
                <w:color w:val="000000"/>
                <w:spacing w:val="0"/>
                <w:sz w:val="22"/>
                <w:lang w:bidi="hi-IN"/>
              </w:rPr>
              <w:t>Deliberação 240/CIB/15, de 22 de outubro de 2015</w:t>
            </w:r>
          </w:p>
          <w:p>
            <w:pPr>
              <w:pStyle w:val="Normal"/>
              <w:jc w:val="center"/>
              <w:rPr>
                <w:rFonts w:ascii="Arial" w:hAnsi="Arial" w:eastAsia="Times New Roman" w:cs="Arial"/>
                <w:color w:val="FF0000"/>
                <w:sz w:val="22"/>
                <w:szCs w:val="20"/>
                <w:lang w:val="pt-BR" w:eastAsia="zh-CN" w:bidi="ar-SA"/>
              </w:rPr>
            </w:pPr>
            <w:r>
              <w:rPr>
                <w:rFonts w:eastAsia="Times New Roman" w:cs="Arial" w:ascii="Arial" w:hAnsi="Arial"/>
                <w:b w:val="false"/>
                <w:i w:val="false"/>
                <w:caps w:val="false"/>
                <w:smallCaps w:val="false"/>
                <w:color w:val="000000"/>
                <w:spacing w:val="0"/>
                <w:sz w:val="22"/>
                <w:szCs w:val="20"/>
                <w:lang w:val="pt-BR" w:eastAsia="zh-CN" w:bidi="ar-SA"/>
              </w:rPr>
              <w:t>Aprova a organização e o estabelecimento, na Rede de Cuidados a Saúde da pessoa com Deficiência, das Diretrizes para a Atenção a Saúde Auditiva em Santa Catarina, desde o componente da Triagem auditiva Neonatal até a atenção Hospitalar de Saúde Auditiva.</w:t>
            </w:r>
            <w:r>
              <w:rPr>
                <w:rFonts w:eastAsia="Times New Roman" w:cs="Arial" w:ascii="Arial" w:hAnsi="Arial"/>
                <w:color w:val="000000"/>
                <w:sz w:val="22"/>
                <w:szCs w:val="20"/>
                <w:lang w:val="pt-BR" w:eastAsia="zh-CN" w:bidi="ar-SA"/>
              </w:rPr>
              <w:t xml:space="preserve"> </w:t>
            </w:r>
          </w:p>
        </w:tc>
      </w:tr>
      <w:tr>
        <w:trPr>
          <w:trHeight w:val="1265" w:hRule="atLeast"/>
        </w:trPr>
        <w:tc>
          <w:tcPr>
            <w:tcW w:w="8567" w:type="dxa"/>
            <w:cnfStyle w:val="000010000000" w:firstRow="0" w:lastRow="0" w:firstColumn="0" w:lastColumn="0" w:oddVBand="1" w:evenVBand="0" w:oddHBand="0" w:evenHBand="0" w:firstRowFirstColumn="0" w:firstRowLastColumn="0" w:lastRowFirstColumn="0" w:lastRowLastColumn="0"/>
            <w:tcBorders>
              <w:top w:val="nil"/>
            </w:tcBorders>
            <w:shd w:fill="auto" w:val="clear"/>
            <w:tcMar>
              <w:left w:w="78" w:type="dxa"/>
            </w:tcMar>
            <w:vAlign w:val="center"/>
          </w:tcPr>
          <w:p>
            <w:pPr>
              <w:pStyle w:val="Normal"/>
              <w:jc w:val="center"/>
              <w:rPr>
                <w:color w:val="FF0000"/>
              </w:rPr>
            </w:pPr>
            <w:r>
              <w:rPr>
                <w:rFonts w:cs="Arial" w:ascii="Arial" w:hAnsi="Arial"/>
                <w:color w:val="000000"/>
                <w:sz w:val="22"/>
              </w:rPr>
              <w:t>Portaria nº 2.157, de 23 de dezembro de 2015</w:t>
            </w:r>
          </w:p>
          <w:p>
            <w:pPr>
              <w:pStyle w:val="Normal"/>
              <w:jc w:val="center"/>
              <w:rPr>
                <w:color w:val="FF0000"/>
              </w:rPr>
            </w:pPr>
            <w:r>
              <w:rPr>
                <w:rFonts w:cs="Arial" w:ascii="Roboto" w:hAnsi="Roboto"/>
                <w:b w:val="false"/>
                <w:i w:val="false"/>
                <w:caps w:val="false"/>
                <w:smallCaps w:val="false"/>
                <w:color w:val="000000"/>
                <w:spacing w:val="0"/>
                <w:sz w:val="21"/>
              </w:rPr>
              <w:t>Altera os art. 8º e 24 da Portaria nº 2.776/GM/MS, de 18 de dezembro de 2014, que aprova diretrizes gerais, amplia e incorpora procedimentos para a Atenção Especializada às Pessoas com Deficiência Auditiva no Sistema Único de Saúde (SUS)</w:t>
            </w:r>
          </w:p>
        </w:tc>
      </w:tr>
    </w:tbl>
    <w:p>
      <w:pPr>
        <w:pStyle w:val="Normal"/>
        <w:spacing w:lineRule="auto" w:line="360" w:before="120" w:after="120"/>
        <w:jc w:val="both"/>
        <w:rPr>
          <w:rFonts w:ascii="Arial" w:hAnsi="Arial" w:eastAsia="Microsoft YaHei" w:cs="Arial"/>
          <w:bCs/>
          <w:sz w:val="24"/>
          <w:szCs w:val="24"/>
          <w:highlight w:val="white"/>
        </w:rPr>
      </w:pPr>
      <w:r>
        <w:rPr>
          <w:rFonts w:cs="Arial" w:ascii="Arial" w:hAnsi="Arial"/>
          <w:bCs/>
          <w:sz w:val="24"/>
          <w:szCs w:val="24"/>
        </w:rPr>
        <w:t>* Revogada</w:t>
      </w:r>
    </w:p>
    <w:p>
      <w:pPr>
        <w:pStyle w:val="Normal"/>
        <w:spacing w:lineRule="auto" w:line="360" w:before="120" w:after="120"/>
        <w:jc w:val="both"/>
        <w:rPr>
          <w:rFonts w:ascii="Arial" w:hAnsi="Arial" w:cs="Arial"/>
          <w:bCs/>
        </w:rPr>
      </w:pPr>
      <w:r>
        <w:rPr>
          <w:rFonts w:eastAsia="Microsoft YaHei" w:cs="Arial" w:ascii="Arial" w:hAnsi="Arial"/>
          <w:bCs/>
          <w:sz w:val="24"/>
          <w:szCs w:val="24"/>
          <w:shd w:fill="FFFFFF" w:val="clear"/>
        </w:rPr>
        <w:t>Fonte: primária.</w:t>
      </w:r>
    </w:p>
    <w:p>
      <w:pPr>
        <w:pStyle w:val="Normal"/>
        <w:widowControl/>
        <w:suppressAutoHyphens w:val="false"/>
        <w:overflowPunct w:val="false"/>
        <w:textAlignment w:val="auto"/>
        <w:rPr>
          <w:rFonts w:ascii="Arial" w:hAnsi="Arial" w:cs="Arial"/>
          <w:bCs/>
        </w:rPr>
      </w:pPr>
      <w:r>
        <w:rPr>
          <w:rFonts w:cs="Arial" w:ascii="Arial" w:hAnsi="Arial"/>
          <w:bCs/>
        </w:rPr>
      </w:r>
      <w:r>
        <w:br w:type="page"/>
      </w:r>
    </w:p>
    <w:p>
      <w:pPr>
        <w:pStyle w:val="Normal"/>
        <w:spacing w:lineRule="auto" w:line="360" w:before="120" w:after="120"/>
        <w:jc w:val="both"/>
        <w:rPr>
          <w:rFonts w:ascii="Arial" w:hAnsi="Arial" w:cs="Arial"/>
          <w:bCs/>
        </w:rPr>
      </w:pPr>
      <w:r>
        <w:rPr>
          <w:rFonts w:cs="Arial" w:ascii="Arial" w:hAnsi="Arial"/>
          <w:bCs/>
        </w:rPr>
      </w:r>
    </w:p>
    <w:p>
      <w:pPr>
        <w:pStyle w:val="Ttulo1"/>
        <w:numPr>
          <w:ilvl w:val="0"/>
          <w:numId w:val="3"/>
        </w:numPr>
        <w:rPr>
          <w:rFonts w:ascii="Arial" w:hAnsi="Arial" w:cs="Arial"/>
          <w:b/>
          <w:b/>
          <w:sz w:val="24"/>
          <w:szCs w:val="24"/>
        </w:rPr>
      </w:pPr>
      <w:bookmarkStart w:id="23" w:name="_Toc434344419"/>
      <w:bookmarkStart w:id="24" w:name="_Toc434148337"/>
      <w:r>
        <w:rPr>
          <w:rFonts w:cs="Arial" w:ascii="Arial" w:hAnsi="Arial"/>
          <w:b/>
          <w:sz w:val="24"/>
          <w:szCs w:val="24"/>
          <w:shd w:fill="FFFFFF" w:val="clear"/>
        </w:rPr>
        <w:t xml:space="preserve">5 </w:t>
      </w:r>
      <w:bookmarkEnd w:id="23"/>
      <w:bookmarkEnd w:id="24"/>
      <w:r>
        <w:rPr>
          <w:rFonts w:cs="Arial" w:ascii="Arial" w:hAnsi="Arial"/>
          <w:b/>
          <w:sz w:val="24"/>
          <w:szCs w:val="24"/>
        </w:rPr>
        <w:t>POPULAÇÃO-ALVO</w:t>
      </w:r>
    </w:p>
    <w:p>
      <w:pPr>
        <w:pStyle w:val="Normal"/>
        <w:rPr/>
      </w:pPr>
      <w:r>
        <w:rPr/>
      </w:r>
    </w:p>
    <w:p>
      <w:pPr>
        <w:pStyle w:val="Normal"/>
        <w:spacing w:lineRule="auto" w:line="360" w:before="120" w:after="120"/>
        <w:ind w:firstLine="567"/>
        <w:jc w:val="both"/>
        <w:rPr>
          <w:rFonts w:ascii="Arial" w:hAnsi="Arial" w:cs="Arial"/>
          <w:sz w:val="24"/>
          <w:szCs w:val="24"/>
        </w:rPr>
      </w:pPr>
      <w:r>
        <w:rPr>
          <w:rFonts w:cs="Arial" w:ascii="Arial" w:hAnsi="Arial"/>
          <w:sz w:val="24"/>
          <w:szCs w:val="24"/>
        </w:rPr>
        <w:t>A população-alvo inclui todas as pessoas residentes no Estado de Santa Catarina, neonatos, lactentes, crianças, jovens, adultos e idosos, englobando pessoas com suspeita de deficiência auditiva ou deficiência auditiva comprovada, para diagnóstico, tratamento e reabilitação de perda auditiva.</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N</w:t>
      </w:r>
      <w:r>
        <w:rPr>
          <w:rFonts w:cs="Arial" w:ascii="Arial" w:hAnsi="Arial"/>
          <w:sz w:val="24"/>
          <w:szCs w:val="24"/>
          <w:shd w:fill="FFFFFF" w:val="clear"/>
        </w:rPr>
        <w:t>este d</w:t>
      </w:r>
      <w:r>
        <w:rPr>
          <w:rFonts w:cs="Arial" w:ascii="Arial" w:hAnsi="Arial"/>
          <w:sz w:val="24"/>
          <w:szCs w:val="24"/>
        </w:rPr>
        <w:t>ocumento, a população-alvo está subdividida em três áreas, por serviços relativos à saúde auditiva, a fim de facilitar a distribuição das ações, atribuições e competências da rede de atenção à saúde da pessoa com deficiência auditiva.</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A primeira área refere-se ao serviço de saúde auditiva de triagem auditiva, incluindo a Triagem Auditiva Neonatal (TAN) e está voltada para neonatos e lactentes.</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 xml:space="preserve">A segunda área destina-se ao Serviço Ambulatorial de Saúde Auditiva (SASA), que inclui a concessão de aparelho auditivo de amplificação sonora individual (AASI) e o sistema de Frequência Modulada (FM), destinada a todas as pessoas que necessitem destes serviços. </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Na terceira área situa-se o serviço de saúde auditiva especializado hospitalar (SHSA), do qual fazem parte o implante coclear (IC), a prótese auditiva ancorada no osso, e procedimentos cirúrgicos otológicos, que está voltado para pessoas com indicação médica para estes procedimentos.</w:t>
      </w:r>
    </w:p>
    <w:p>
      <w:pPr>
        <w:pStyle w:val="Normal"/>
        <w:widowControl/>
        <w:suppressAutoHyphens w:val="false"/>
        <w:overflowPunct w:val="false"/>
        <w:textAlignment w:val="auto"/>
        <w:rPr>
          <w:rFonts w:ascii="Arial" w:hAnsi="Arial" w:cs="Arial"/>
          <w:sz w:val="24"/>
          <w:szCs w:val="24"/>
        </w:rPr>
      </w:pPr>
      <w:r>
        <w:rPr>
          <w:rFonts w:cs="Arial" w:ascii="Arial" w:hAnsi="Arial"/>
          <w:sz w:val="24"/>
          <w:szCs w:val="24"/>
        </w:rPr>
      </w:r>
      <w:r>
        <w:br w:type="page"/>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Ttulo1"/>
        <w:numPr>
          <w:ilvl w:val="0"/>
          <w:numId w:val="3"/>
        </w:numPr>
        <w:rPr>
          <w:rFonts w:ascii="Arial" w:hAnsi="Arial" w:cs="Arial"/>
          <w:b/>
          <w:b/>
          <w:sz w:val="24"/>
          <w:szCs w:val="24"/>
        </w:rPr>
      </w:pPr>
      <w:bookmarkStart w:id="25" w:name="_Toc434344420"/>
      <w:bookmarkStart w:id="26" w:name="_Toc434148338"/>
      <w:bookmarkEnd w:id="25"/>
      <w:bookmarkEnd w:id="26"/>
      <w:r>
        <w:rPr>
          <w:rFonts w:cs="Arial" w:ascii="Arial" w:hAnsi="Arial"/>
          <w:b/>
          <w:sz w:val="24"/>
          <w:szCs w:val="24"/>
        </w:rPr>
        <w:t>6 SERVIÇOS DE SAÚDE AUDITIVA</w:t>
      </w:r>
    </w:p>
    <w:p>
      <w:pPr>
        <w:pStyle w:val="Normal"/>
        <w:rPr/>
      </w:pPr>
      <w:r>
        <w:rPr/>
      </w:r>
    </w:p>
    <w:p>
      <w:pPr>
        <w:pStyle w:val="Normal"/>
        <w:spacing w:lineRule="auto" w:line="360" w:before="120" w:after="120"/>
        <w:ind w:firstLine="567"/>
        <w:jc w:val="both"/>
        <w:rPr>
          <w:rFonts w:ascii="Arial" w:hAnsi="Arial" w:cs="Arial"/>
          <w:sz w:val="24"/>
          <w:szCs w:val="24"/>
          <w:highlight w:val="white"/>
        </w:rPr>
      </w:pPr>
      <w:r>
        <w:rPr>
          <w:rFonts w:cs="Arial" w:ascii="Arial" w:hAnsi="Arial"/>
          <w:sz w:val="24"/>
          <w:szCs w:val="24"/>
        </w:rPr>
        <w:t xml:space="preserve">A Rede Estadual de Atenção à Saúde Auditiva será composta por ações integradas </w:t>
      </w:r>
      <w:r>
        <w:rPr>
          <w:rFonts w:cs="Arial" w:ascii="Arial" w:hAnsi="Arial"/>
          <w:sz w:val="24"/>
          <w:szCs w:val="24"/>
          <w:shd w:fill="FFFFFF" w:val="clear"/>
        </w:rPr>
        <w:t>em diferentes unidades de saúde e níveis de atenção.</w:t>
      </w:r>
    </w:p>
    <w:p>
      <w:pPr>
        <w:pStyle w:val="Normal"/>
        <w:spacing w:lineRule="auto" w:line="360" w:before="120" w:after="120"/>
        <w:ind w:firstLine="567"/>
        <w:jc w:val="both"/>
        <w:rPr>
          <w:rFonts w:ascii="Arial" w:hAnsi="Arial" w:cs="Arial"/>
          <w:sz w:val="24"/>
          <w:szCs w:val="24"/>
        </w:rPr>
      </w:pPr>
      <w:r>
        <w:rPr>
          <w:rFonts w:cs="Arial" w:ascii="Arial" w:hAnsi="Arial"/>
          <w:sz w:val="24"/>
          <w:szCs w:val="24"/>
          <w:shd w:fill="FFFFFF" w:val="clear"/>
        </w:rPr>
        <w:t xml:space="preserve">Serão descritos a seguir as normas, os fluxos dos serviços e as competências e atribuições dos órgãos que compõem o serviço de triagem auditiva neonatal </w:t>
      </w:r>
      <w:r>
        <w:rPr>
          <w:rFonts w:cs="Arial" w:ascii="Arial" w:hAnsi="Arial"/>
          <w:sz w:val="24"/>
          <w:szCs w:val="24"/>
        </w:rPr>
        <w:t xml:space="preserve">(TAN), serviço ambulatorial de saúde auditiva (SASA) e serviço hospitalar de saúde auditiva (SHSA). </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r>
    </w:p>
    <w:p>
      <w:pPr>
        <w:pStyle w:val="Ttulo2"/>
        <w:rPr>
          <w:rStyle w:val="Forte1"/>
        </w:rPr>
      </w:pPr>
      <w:bookmarkStart w:id="27" w:name="_Toc434344421"/>
      <w:bookmarkStart w:id="28" w:name="_Toc434148339"/>
      <w:bookmarkEnd w:id="27"/>
      <w:bookmarkEnd w:id="28"/>
      <w:r>
        <w:rPr>
          <w:rStyle w:val="Forte1"/>
        </w:rPr>
        <w:t>6.1 Serviço de Triagem Auditiva Neonatal (TAN)</w:t>
      </w:r>
    </w:p>
    <w:p>
      <w:pPr>
        <w:pStyle w:val="Corpodetexto"/>
        <w:rPr/>
      </w:pPr>
      <w:r>
        <w:rPr/>
      </w:r>
    </w:p>
    <w:p>
      <w:pPr>
        <w:pStyle w:val="Normal"/>
        <w:spacing w:lineRule="auto" w:line="360" w:before="120" w:after="120"/>
        <w:ind w:firstLine="567"/>
        <w:jc w:val="both"/>
        <w:rPr>
          <w:rFonts w:ascii="Arial" w:hAnsi="Arial" w:cs="Arial"/>
          <w:sz w:val="24"/>
          <w:szCs w:val="24"/>
        </w:rPr>
      </w:pPr>
      <w:r>
        <w:rPr>
          <w:rFonts w:cs="Arial" w:ascii="Arial" w:hAnsi="Arial"/>
          <w:color w:val="000000"/>
          <w:sz w:val="24"/>
          <w:szCs w:val="24"/>
        </w:rPr>
        <w:t>O serviço de triagem auditiva no Estado de Santa Catarina está pautado nas Diretrizes de atenção da triagem auditiva neonatal do Ministério da Saúde (BRASIL, 2012).</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A Triagem Auditiva Neonatal (TAN) ou “Teste da Orelhinha” tem por finalidade a identificação precoce da deficiência auditiva nos neonatos e lactentes. Consiste no teste e reteste por meio de equipamentos que permitam medidas fisiológicas e eletrofisiológicas da audição, para encaminhamento de diagnóstico dessa deficiência, e intervenções adequadas.</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A identificação precoce de problemas auditivos, por meio da TAN faz parte de um processo contínuo e indissociável, para um atendimento global e especializado para as crianças com deficiência auditiva. As ações do serviço de saúde auditiva devem ter articulação, capacitação e integração com as ações da atenção básica.</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A TAN deve ser realizada na maternidade, preferencialmente nos primeiros dias ou até o primeiro mês, ou em casos de nascimentos que ocorram em domicílio, fora do ambiente hospitalar ou em maternidades sem triagem auditiva, a realização do teste deverá ocorrer no primeiro mês de vida.</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Deve ser realizada em duas etapas (teste e reteste), no primeiro mês de vida. A presença ou ausência de indicadores de risco para a deficiência auditiva deve orientar o protocolo a ser utilizado, sendo um grupo sem indicador de risco e outro com indicador de risco para neonatos e lactentes.</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São indicadores de risco para a deficiência auditiva no recém-nascido (até 28 dias de vida):</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histórico de surdez permanente na família, com início desde a infância,</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permanência em UTI por mais de 5 dias,</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Apgar neonatal de 0 a 4 no 1º minuto, ou de 0 a 6 no 5º minuto,</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medicamentos ototóxicos,</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ventilação extracorpórea; ventilação assistida,</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hiperbilirrubinemia,</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peso ao nascer inferior a 1500g,</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nascimento pré-termo ou pequeno para a idade gestacional (PIG),</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infecções congênitas: rubéola, toxoplasmose, sífilis, citomegalovírus, herpes zoster, HIV,</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anomalias crânio-faciais envolvendo orelha e osso temporal,</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síndromes genéticas que usualmente expressam deficiência auditiva (como Wardenburg, Alport, Pendred),</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distúrbios neurodegenerativos (ataxia de Friedreich, síndrome de Charcot-Marie-Tooth),</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infecções bacterianas ou virais pós-natais como citomegalovírus, herpes, sarampo, varicela e meningite,</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traumatismo craniano,</w:t>
      </w:r>
    </w:p>
    <w:p>
      <w:pPr>
        <w:pStyle w:val="PargrafodaLista1"/>
        <w:numPr>
          <w:ilvl w:val="0"/>
          <w:numId w:val="11"/>
        </w:numPr>
        <w:spacing w:lineRule="auto" w:line="360" w:before="120" w:after="120"/>
        <w:ind w:left="1134" w:hanging="567"/>
        <w:jc w:val="both"/>
        <w:rPr>
          <w:rFonts w:ascii="Arial" w:hAnsi="Arial" w:cs="Arial"/>
          <w:sz w:val="24"/>
          <w:szCs w:val="24"/>
        </w:rPr>
      </w:pPr>
      <w:r>
        <w:rPr>
          <w:rFonts w:cs="Arial" w:ascii="Arial" w:hAnsi="Arial"/>
          <w:sz w:val="24"/>
          <w:szCs w:val="24"/>
        </w:rPr>
        <w:t>quimioterapia.</w:t>
      </w:r>
    </w:p>
    <w:p>
      <w:pPr>
        <w:pStyle w:val="PargrafodaLista1"/>
        <w:spacing w:lineRule="auto" w:line="360" w:before="120" w:after="120"/>
        <w:ind w:left="720" w:hanging="0"/>
        <w:jc w:val="both"/>
        <w:rPr>
          <w:rFonts w:ascii="Arial" w:hAnsi="Arial" w:cs="Arial"/>
          <w:sz w:val="24"/>
          <w:szCs w:val="24"/>
        </w:rPr>
      </w:pPr>
      <w:r>
        <w:rPr>
          <w:rFonts w:cs="Arial" w:ascii="Arial" w:hAnsi="Arial"/>
          <w:sz w:val="24"/>
          <w:szCs w:val="24"/>
        </w:rPr>
      </w:r>
    </w:p>
    <w:p>
      <w:pPr>
        <w:pStyle w:val="Ttulo3"/>
        <w:numPr>
          <w:ilvl w:val="2"/>
          <w:numId w:val="3"/>
        </w:numPr>
        <w:rPr>
          <w:rStyle w:val="Forte1"/>
        </w:rPr>
      </w:pPr>
      <w:bookmarkStart w:id="29" w:name="_Toc434344422"/>
      <w:bookmarkStart w:id="30" w:name="_Toc434148340"/>
      <w:bookmarkEnd w:id="29"/>
      <w:bookmarkEnd w:id="30"/>
      <w:r>
        <w:rPr>
          <w:rStyle w:val="Forte1"/>
        </w:rPr>
        <w:t>6.1.1 Fluxograma da Triagem Auditiva Neonatal</w:t>
      </w:r>
    </w:p>
    <w:p>
      <w:pPr>
        <w:pStyle w:val="Corpodetexto"/>
        <w:rPr/>
      </w:pPr>
      <w:r>
        <w:rPr/>
      </w:r>
    </w:p>
    <w:p>
      <w:pPr>
        <w:pStyle w:val="Normal"/>
        <w:spacing w:lineRule="auto" w:line="360" w:before="120" w:after="120"/>
        <w:ind w:firstLine="567"/>
        <w:jc w:val="both"/>
        <w:rPr/>
      </w:pPr>
      <w:r>
        <w:rPr>
          <w:rFonts w:cs="Arial" w:ascii="Arial" w:hAnsi="Arial"/>
          <w:sz w:val="24"/>
          <w:szCs w:val="24"/>
        </w:rPr>
        <w:t xml:space="preserve">A TAN deve ser seguida conforme </w:t>
      </w:r>
      <w:r>
        <w:rPr>
          <w:rFonts w:cs="Arial" w:ascii="Arial" w:hAnsi="Arial"/>
          <w:sz w:val="24"/>
          <w:szCs w:val="24"/>
          <w:shd w:fill="FFFFFF" w:val="clear"/>
        </w:rPr>
        <w:t xml:space="preserve">preconizada </w:t>
      </w:r>
      <w:r>
        <w:rPr>
          <w:rFonts w:cs="Arial" w:ascii="Arial" w:hAnsi="Arial"/>
          <w:sz w:val="24"/>
          <w:szCs w:val="24"/>
        </w:rPr>
        <w:t xml:space="preserve">nas Diretrizes de Atenção da Triagem Auditiva Neonatal do Ministério da Saúde (BRASIL, 2012). </w:t>
      </w:r>
      <w:r>
        <w:rPr>
          <w:rFonts w:eastAsia="SimSun" w:cs="Arial" w:ascii="Arial" w:hAnsi="Arial"/>
          <w:sz w:val="24"/>
          <w:szCs w:val="24"/>
          <w:lang w:bidi="hi-IN"/>
        </w:rPr>
        <w:t>N</w:t>
      </w:r>
      <w:r>
        <w:rPr>
          <w:rFonts w:cs="Arial" w:ascii="Arial" w:hAnsi="Arial"/>
          <w:sz w:val="24"/>
          <w:szCs w:val="24"/>
        </w:rPr>
        <w:t xml:space="preserve">essas diretrizes a identificação do risco para deficiência auditiva com triagem auditiva neonatal pode ser realizada por maternidades, ambulatórios ou atenção básica. </w:t>
      </w:r>
      <w:r>
        <w:rPr>
          <w:rFonts w:cs="Arial" w:ascii="Arial" w:hAnsi="Arial"/>
          <w:color w:val="000000"/>
          <w:sz w:val="24"/>
          <w:szCs w:val="24"/>
        </w:rPr>
        <w:t>O fluxograma está demonstrado na Figura 4.</w:t>
      </w:r>
    </w:p>
    <w:p>
      <w:pPr>
        <w:pStyle w:val="Normal"/>
        <w:spacing w:lineRule="auto" w:line="360" w:before="120" w:after="120"/>
        <w:jc w:val="both"/>
        <w:rPr/>
      </w:pPr>
      <w:r>
        <w:rPr/>
      </w:r>
    </w:p>
    <w:p>
      <w:pPr>
        <w:pStyle w:val="Normal"/>
        <w:spacing w:lineRule="auto" w:line="360" w:before="120" w:after="120"/>
        <w:jc w:val="center"/>
        <w:rPr>
          <w:rFonts w:ascii="Arial" w:hAnsi="Arial" w:cs="Arial"/>
          <w:color w:val="000000"/>
        </w:rPr>
      </w:pPr>
      <w:r>
        <w:rPr>
          <w:rFonts w:cs="Arial" w:ascii="Arial" w:hAnsi="Arial"/>
          <w:color w:val="000000"/>
        </w:rPr>
        <w:t>Figura 4 - Fluxograma da Triagem Auditiva Neonatal (TAN) para o Estado de Santa Catarina.</w:t>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drawing>
          <wp:anchor behindDoc="0" distT="0" distB="0" distL="0" distR="0" simplePos="0" locked="0" layoutInCell="1" allowOverlap="1" relativeHeight="74">
            <wp:simplePos x="0" y="0"/>
            <wp:positionH relativeFrom="column">
              <wp:align>center</wp:align>
            </wp:positionH>
            <wp:positionV relativeFrom="paragraph">
              <wp:posOffset>635</wp:posOffset>
            </wp:positionV>
            <wp:extent cx="6383655" cy="5125720"/>
            <wp:effectExtent l="0" t="0" r="0" b="0"/>
            <wp:wrapSquare wrapText="largest"/>
            <wp:docPr id="2" name="Figura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a1" descr=""/>
                    <pic:cNvPicPr>
                      <a:picLocks noChangeAspect="1" noChangeArrowheads="1"/>
                    </pic:cNvPicPr>
                  </pic:nvPicPr>
                  <pic:blipFill>
                    <a:blip r:embed="rId3"/>
                    <a:stretch>
                      <a:fillRect/>
                    </a:stretch>
                  </pic:blipFill>
                  <pic:spPr bwMode="auto">
                    <a:xfrm>
                      <a:off x="0" y="0"/>
                      <a:ext cx="6383655" cy="5125720"/>
                    </a:xfrm>
                    <a:prstGeom prst="rect">
                      <a:avLst/>
                    </a:prstGeom>
                  </pic:spPr>
                </pic:pic>
              </a:graphicData>
            </a:graphic>
          </wp:anchor>
        </w:drawing>
      </w:r>
    </w:p>
    <w:p>
      <w:pPr>
        <w:pStyle w:val="Normal"/>
        <w:spacing w:lineRule="auto" w:line="360" w:before="120" w:after="120"/>
        <w:jc w:val="center"/>
        <w:rPr>
          <w:rStyle w:val="Pagenumber"/>
        </w:rPr>
      </w:pPr>
      <w:r>
        <w:rPr/>
      </w:r>
    </w:p>
    <w:p>
      <w:pPr>
        <w:pStyle w:val="Normal"/>
        <w:spacing w:lineRule="auto" w:line="360" w:before="120" w:after="120"/>
        <w:jc w:val="center"/>
        <w:rPr>
          <w:rStyle w:val="Pagenumber"/>
        </w:rPr>
      </w:pPr>
      <w:r>
        <w:rPr/>
      </w:r>
    </w:p>
    <w:p>
      <w:pPr>
        <w:sectPr>
          <w:headerReference w:type="default" r:id="rId4"/>
          <w:headerReference w:type="first" r:id="rId5"/>
          <w:footerReference w:type="default" r:id="rId6"/>
          <w:footerReference w:type="first" r:id="rId7"/>
          <w:type w:val="nextPage"/>
          <w:pgSz w:w="11906" w:h="16838"/>
          <w:pgMar w:left="1701" w:right="1701" w:header="720" w:top="1417" w:footer="964" w:bottom="1931" w:gutter="0"/>
          <w:pgNumType w:start="1" w:fmt="decimal"/>
          <w:formProt w:val="false"/>
          <w:titlePg/>
          <w:textDirection w:val="lrTb"/>
          <w:docGrid w:type="default" w:linePitch="360" w:charSpace="2047"/>
        </w:sectPr>
      </w:pPr>
    </w:p>
    <w:p>
      <w:pPr>
        <w:pStyle w:val="Normal"/>
        <w:spacing w:lineRule="auto" w:line="360" w:before="120" w:after="120"/>
        <w:jc w:val="both"/>
        <w:rPr/>
      </w:pPr>
      <w:r>
        <w:rPr/>
      </w:r>
    </w:p>
    <w:p>
      <w:pPr>
        <w:pStyle w:val="Normal"/>
        <w:spacing w:lineRule="auto" w:line="360" w:before="120" w:after="120"/>
        <w:jc w:val="both"/>
        <w:rPr>
          <w:rFonts w:ascii="Arial" w:hAnsi="Arial" w:eastAsia="SimSun" w:cs="Arial"/>
          <w:color w:val="000000"/>
          <w:sz w:val="24"/>
          <w:szCs w:val="24"/>
          <w:lang w:bidi="hi-IN"/>
        </w:rPr>
      </w:pPr>
      <w:r>
        <w:rPr>
          <w:rFonts w:cs="Arial" w:ascii="Arial" w:hAnsi="Arial"/>
          <w:color w:val="000000"/>
        </w:rPr>
        <w:t>Fonte: Primária, modificado das Diretrizes de Atenção da Triagem Auditiva Neonatal do Ministério da Saúde (BRASIL, 2012 p. 14).</w:t>
      </w:r>
    </w:p>
    <w:p>
      <w:pPr>
        <w:pStyle w:val="Normal"/>
        <w:spacing w:lineRule="auto" w:line="360" w:before="120" w:after="120"/>
        <w:ind w:firstLine="567"/>
        <w:jc w:val="both"/>
        <w:rPr>
          <w:rFonts w:ascii="Arial" w:hAnsi="Arial" w:eastAsia="SimSun" w:cs="Arial"/>
          <w:color w:val="000000"/>
          <w:sz w:val="24"/>
          <w:szCs w:val="24"/>
          <w:lang w:bidi="hi-IN"/>
        </w:rPr>
      </w:pPr>
      <w:r>
        <w:rPr>
          <w:rFonts w:eastAsia="SimSun" w:cs="Arial" w:ascii="Arial" w:hAnsi="Arial"/>
          <w:color w:val="000000"/>
          <w:sz w:val="24"/>
          <w:szCs w:val="24"/>
          <w:lang w:bidi="hi-IN"/>
        </w:rPr>
      </w:r>
    </w:p>
    <w:p>
      <w:pPr>
        <w:pStyle w:val="Normal"/>
        <w:spacing w:lineRule="auto" w:line="360" w:before="120" w:after="120"/>
        <w:ind w:firstLine="567"/>
        <w:jc w:val="both"/>
        <w:rPr>
          <w:rFonts w:ascii="Arial" w:hAnsi="Arial" w:eastAsia="SimSun" w:cs="Arial"/>
          <w:color w:val="000000"/>
          <w:sz w:val="24"/>
          <w:szCs w:val="24"/>
          <w:lang w:bidi="hi-IN"/>
        </w:rPr>
      </w:pPr>
      <w:r>
        <w:rPr>
          <w:rFonts w:eastAsia="SimSun" w:cs="Arial" w:ascii="Arial" w:hAnsi="Arial"/>
          <w:color w:val="000000"/>
          <w:sz w:val="24"/>
          <w:szCs w:val="24"/>
          <w:lang w:bidi="hi-IN"/>
        </w:rPr>
      </w:r>
    </w:p>
    <w:p>
      <w:pPr>
        <w:pStyle w:val="Normal"/>
        <w:spacing w:lineRule="auto" w:line="360" w:before="120" w:after="120"/>
        <w:ind w:firstLine="567"/>
        <w:jc w:val="both"/>
        <w:rPr>
          <w:rFonts w:ascii="Arial" w:hAnsi="Arial" w:eastAsia="SimSun" w:cs="Arial"/>
          <w:color w:val="000000"/>
          <w:sz w:val="24"/>
          <w:szCs w:val="24"/>
          <w:lang w:bidi="hi-IN"/>
        </w:rPr>
      </w:pPr>
      <w:r>
        <w:rPr>
          <w:rFonts w:eastAsia="SimSun" w:cs="Arial" w:ascii="Arial" w:hAnsi="Arial"/>
          <w:color w:val="000000"/>
          <w:sz w:val="24"/>
          <w:szCs w:val="24"/>
          <w:lang w:bidi="hi-IN"/>
        </w:rPr>
      </w:r>
    </w:p>
    <w:p>
      <w:pPr>
        <w:pStyle w:val="Normal"/>
        <w:spacing w:lineRule="auto" w:line="360" w:before="120" w:after="120"/>
        <w:ind w:firstLine="567"/>
        <w:jc w:val="both"/>
        <w:rPr>
          <w:rFonts w:ascii="Arial" w:hAnsi="Arial" w:eastAsia="SimSun" w:cs="Arial"/>
          <w:color w:val="000000"/>
          <w:sz w:val="24"/>
          <w:szCs w:val="24"/>
          <w:lang w:bidi="hi-IN"/>
        </w:rPr>
      </w:pPr>
      <w:r>
        <w:rPr>
          <w:rFonts w:eastAsia="SimSun" w:cs="Arial" w:ascii="Arial" w:hAnsi="Arial"/>
          <w:color w:val="000000"/>
          <w:sz w:val="24"/>
          <w:szCs w:val="24"/>
          <w:lang w:bidi="hi-IN"/>
        </w:rPr>
      </w:r>
    </w:p>
    <w:p>
      <w:pPr>
        <w:pStyle w:val="Normal"/>
        <w:spacing w:lineRule="auto" w:line="360" w:before="120" w:after="120"/>
        <w:ind w:firstLine="567"/>
        <w:jc w:val="both"/>
        <w:rPr>
          <w:rFonts w:ascii="Arial" w:hAnsi="Arial" w:cs="Arial"/>
          <w:color w:val="000000"/>
          <w:sz w:val="24"/>
          <w:szCs w:val="24"/>
        </w:rPr>
      </w:pPr>
      <w:r>
        <w:rPr>
          <w:rFonts w:eastAsia="SimSun" w:cs="Arial" w:ascii="Arial" w:hAnsi="Arial"/>
          <w:color w:val="000000"/>
          <w:sz w:val="24"/>
          <w:szCs w:val="24"/>
          <w:lang w:bidi="hi-IN"/>
        </w:rPr>
        <w:t xml:space="preserve">O fluxograma apresenta as ações desenvolvidas na maternidade, inicialmente com a </w:t>
      </w:r>
      <w:r>
        <w:rPr>
          <w:rFonts w:cs="Arial" w:ascii="Arial" w:hAnsi="Arial"/>
          <w:color w:val="000000"/>
          <w:sz w:val="24"/>
          <w:szCs w:val="24"/>
        </w:rPr>
        <w:t>identificação dos riscos para a deficiência auditiva. A realização do teste da TAN difere para os grupos com e sem indicador de risco.</w:t>
      </w:r>
    </w:p>
    <w:p>
      <w:pPr>
        <w:pStyle w:val="Normal"/>
        <w:spacing w:lineRule="auto" w:line="360" w:before="120" w:after="120"/>
        <w:ind w:firstLine="567"/>
        <w:jc w:val="both"/>
        <w:rPr>
          <w:rFonts w:ascii="Arial" w:hAnsi="Arial" w:cs="Arial"/>
          <w:sz w:val="24"/>
          <w:szCs w:val="24"/>
        </w:rPr>
      </w:pPr>
      <w:r>
        <w:rPr>
          <w:rFonts w:cs="Arial" w:ascii="Arial" w:hAnsi="Arial"/>
          <w:color w:val="000000"/>
          <w:sz w:val="24"/>
          <w:szCs w:val="24"/>
        </w:rPr>
        <w:t>Inicialmente, a</w:t>
      </w:r>
      <w:r>
        <w:rPr>
          <w:rFonts w:cs="Arial" w:ascii="Arial" w:hAnsi="Arial"/>
          <w:sz w:val="24"/>
          <w:szCs w:val="24"/>
        </w:rPr>
        <w:t xml:space="preserve">s crianças sem indicadores de risco para deficiência auditiva devem realizar o teste com Emissões Otoacústicas Evocadas (EOAE) e caso falhem, devem ser retestadas (EOA2). Na persistência da falha, devem realizar o teste de Potenciais Evocados Auditivos de Tronco Encefálico (PEATE), na modalidade PEATE-Automático (PEATE-A). </w:t>
      </w:r>
      <w:r>
        <w:rPr>
          <w:rFonts w:cs="Arial" w:ascii="Arial" w:hAnsi="Arial"/>
          <w:bCs/>
          <w:sz w:val="24"/>
          <w:szCs w:val="24"/>
        </w:rPr>
        <w:t>Todos os testes serão feitos nas maternidades ou ambulatórios que tenham serviços de triagem auditiva neonatal.</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 xml:space="preserve">As crianças com indicadores de risco para deficiência auditiva devem realizar o PEATE-A, </w:t>
      </w:r>
      <w:r>
        <w:rPr>
          <w:rFonts w:cs="Arial" w:ascii="Arial" w:hAnsi="Arial"/>
          <w:bCs/>
          <w:sz w:val="24"/>
          <w:szCs w:val="24"/>
        </w:rPr>
        <w:t xml:space="preserve">também em maternidades ou ambulatórios que tenham serviços de triagem auditiva neonatal. </w:t>
      </w:r>
      <w:r>
        <w:rPr>
          <w:rFonts w:cs="Arial" w:ascii="Arial" w:hAnsi="Arial"/>
          <w:sz w:val="24"/>
          <w:szCs w:val="24"/>
        </w:rPr>
        <w:t xml:space="preserve">No caso de falha no resultado, ou seja, PEATE-A alterado, o reteste deverá acontecer no período de até 30 dias após o teste (PEATE-A2). </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 xml:space="preserve">Todos os neonatos e lactentes, com ou sem indicadores de risco, que falhar no reteste para deficiência auditiva devem ser encaminhados para avaliação diagnóstica otorrinolaringológica e audiológica no Serviço Ambulatorial de Saúde Auditiva (SASA). </w:t>
      </w:r>
    </w:p>
    <w:p>
      <w:pPr>
        <w:pStyle w:val="Normal"/>
        <w:spacing w:lineRule="auto" w:line="360" w:before="120" w:after="120"/>
        <w:ind w:firstLine="567"/>
        <w:jc w:val="both"/>
        <w:rPr>
          <w:rFonts w:ascii="Arial" w:hAnsi="Arial" w:eastAsia="SimSun" w:cs="Arial"/>
          <w:bCs/>
          <w:sz w:val="24"/>
          <w:szCs w:val="24"/>
          <w:lang w:bidi="hi-IN"/>
        </w:rPr>
      </w:pPr>
      <w:r>
        <w:rPr>
          <w:rFonts w:cs="Arial" w:ascii="Arial" w:hAnsi="Arial"/>
          <w:sz w:val="24"/>
          <w:szCs w:val="24"/>
        </w:rPr>
        <w:t>Mesmo com resultados satisfatórios na TAN, no caso de suspeita de perda auditiva, seja dos pais ou profissionais, a criança deve ser imediatamente encaminhada também para a avaliação audiológica.</w:t>
      </w:r>
    </w:p>
    <w:p>
      <w:pPr>
        <w:pStyle w:val="Normal"/>
        <w:spacing w:lineRule="auto" w:line="360" w:before="120" w:after="120"/>
        <w:ind w:firstLine="567"/>
        <w:jc w:val="both"/>
        <w:rPr>
          <w:rFonts w:ascii="Arial" w:hAnsi="Arial" w:eastAsia="SimSun" w:cs="Arial"/>
          <w:bCs/>
          <w:sz w:val="24"/>
          <w:szCs w:val="24"/>
          <w:lang w:bidi="hi-IN"/>
        </w:rPr>
      </w:pPr>
      <w:r>
        <w:rPr>
          <w:rFonts w:eastAsia="SimSun" w:cs="Arial" w:ascii="Arial" w:hAnsi="Arial"/>
          <w:bCs/>
          <w:sz w:val="24"/>
          <w:szCs w:val="24"/>
          <w:lang w:bidi="hi-IN"/>
        </w:rPr>
        <w:t>Os neonatos e lactentes sem indicadores de risco que obtiveram respostas satisfatórias na triagem devem realizar acompanhamento mensal do desenvolvimento da audição e da linguagem, durante o primeiro ano de vida, na atenção básica.</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bCs/>
          <w:sz w:val="24"/>
          <w:szCs w:val="24"/>
          <w:lang w:bidi="hi-IN"/>
        </w:rPr>
        <w:t>Para os neonatos e lactentes com indicadores de risco, r</w:t>
      </w:r>
      <w:r>
        <w:rPr>
          <w:rFonts w:cs="Arial" w:ascii="Arial" w:hAnsi="Arial"/>
          <w:sz w:val="24"/>
          <w:szCs w:val="24"/>
        </w:rPr>
        <w:t xml:space="preserve">ecomenda-se que o monitoramento seja mensal durante o primeiro ano de vida nos que obtiveram respostas satisfatórias na triagem. Esse </w:t>
      </w:r>
      <w:r>
        <w:rPr>
          <w:rFonts w:cs="Arial" w:ascii="Arial" w:hAnsi="Arial"/>
          <w:bCs/>
          <w:sz w:val="24"/>
          <w:szCs w:val="24"/>
        </w:rPr>
        <w:t>monitoramento ocorrerá n</w:t>
      </w:r>
      <w:r>
        <w:rPr>
          <w:rFonts w:eastAsia="SimSun" w:cs="Arial" w:ascii="Arial" w:hAnsi="Arial"/>
          <w:bCs/>
          <w:sz w:val="24"/>
          <w:szCs w:val="24"/>
          <w:lang w:bidi="hi-IN"/>
        </w:rPr>
        <w:t xml:space="preserve">a </w:t>
      </w:r>
      <w:r>
        <w:rPr>
          <w:rStyle w:val="Strong"/>
          <w:rFonts w:eastAsia="SimSun" w:cs="Arial" w:ascii="Arial" w:hAnsi="Arial"/>
          <w:b w:val="false"/>
          <w:sz w:val="24"/>
          <w:szCs w:val="24"/>
          <w:lang w:bidi="hi-IN"/>
        </w:rPr>
        <w:t>atenção básica</w:t>
      </w:r>
      <w:r>
        <w:rPr>
          <w:rStyle w:val="Strong"/>
          <w:rFonts w:eastAsia="SimSun" w:cs="Arial" w:ascii="Arial" w:hAnsi="Arial"/>
          <w:sz w:val="24"/>
          <w:szCs w:val="24"/>
          <w:lang w:bidi="hi-IN"/>
        </w:rPr>
        <w:t xml:space="preserve">, </w:t>
      </w:r>
      <w:r>
        <w:rPr>
          <w:rFonts w:eastAsia="SimSun" w:cs="Arial" w:ascii="Arial" w:hAnsi="Arial"/>
          <w:bCs/>
          <w:sz w:val="24"/>
          <w:szCs w:val="24"/>
          <w:lang w:bidi="hi-IN"/>
        </w:rPr>
        <w:t>na UBS de seu município no Serviço de fonoaudiologia ou em clínicas referenciadas pelo município para este Serviço.</w:t>
      </w:r>
    </w:p>
    <w:p>
      <w:pPr>
        <w:pStyle w:val="Norma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 xml:space="preserve">Todo neonato ou lactente que não apresentar respostas adequadas na triagem, no monitoramento ou no acompanhamento, deve ser </w:t>
      </w:r>
      <w:r>
        <w:rPr>
          <w:rFonts w:eastAsia="SimSun" w:cs="Arial" w:ascii="Arial" w:hAnsi="Arial"/>
          <w:bCs/>
          <w:sz w:val="24"/>
          <w:szCs w:val="24"/>
          <w:lang w:bidi="hi-IN"/>
        </w:rPr>
        <w:t>referenciado e ter acesso ao diagnóstico funcional, nos Centros Especializados em Reabilitação (CER) com o serviço de reabilitação auditiva e/ou no Serviço Ambulatorial de Saúde Auditiva</w:t>
      </w:r>
      <w:r>
        <w:rPr>
          <w:rFonts w:eastAsia="SimSun" w:cs="Arial" w:ascii="Arial" w:hAnsi="Arial"/>
          <w:sz w:val="24"/>
          <w:szCs w:val="24"/>
          <w:lang w:bidi="hi-IN"/>
        </w:rPr>
        <w:t xml:space="preserve"> habilitado pelo Ministério da Saúde, de sua referência, conforme o fluxo de entrada para este serviço.</w:t>
      </w:r>
    </w:p>
    <w:p>
      <w:pPr>
        <w:pStyle w:val="Normal"/>
        <w:spacing w:lineRule="auto" w:line="360" w:before="120" w:after="120"/>
        <w:ind w:firstLine="567"/>
        <w:jc w:val="both"/>
        <w:rPr/>
      </w:pPr>
      <w:r>
        <w:rPr>
          <w:rFonts w:eastAsia="SimSun" w:cs="Arial" w:ascii="Arial" w:hAnsi="Arial"/>
          <w:sz w:val="24"/>
          <w:szCs w:val="24"/>
          <w:lang w:bidi="hi-IN"/>
        </w:rPr>
        <w:t>Os neonatos e lactentes, com e sem indicador de risco, com perda auditiva devem passar pelo processo de indicação, seleção e adaptação de AASI ou, se necessário, posteriormente, de IC e receber acompanhamen</w:t>
      </w:r>
      <w:r>
        <w:rPr>
          <w:rFonts w:eastAsia="SimSun" w:cs="Arial" w:ascii="Arial" w:hAnsi="Arial"/>
          <w:sz w:val="24"/>
          <w:szCs w:val="24"/>
          <w:shd w:fill="FFFFFF" w:val="clear"/>
          <w:lang w:bidi="hi-IN"/>
        </w:rPr>
        <w:t>to fonoaudiológico e</w:t>
      </w:r>
      <w:r>
        <w:rPr>
          <w:rFonts w:eastAsia="SimSun" w:cs="Arial" w:ascii="Arial" w:hAnsi="Arial"/>
          <w:sz w:val="24"/>
          <w:szCs w:val="24"/>
          <w:lang w:bidi="hi-IN"/>
        </w:rPr>
        <w:t xml:space="preserve"> otorrinolaringológico. Dessa forma, as </w:t>
      </w:r>
      <w:r>
        <w:rPr>
          <w:rFonts w:cs="Arial" w:ascii="Arial" w:hAnsi="Arial"/>
          <w:sz w:val="24"/>
          <w:szCs w:val="24"/>
        </w:rPr>
        <w:t xml:space="preserve">ações de saúde auditiva em TAN serão efetivas com as etapas subsequentes de diagnóstico e reabilitação, </w:t>
      </w:r>
      <w:r>
        <w:rPr>
          <w:rFonts w:cs="Arial" w:ascii="Arial" w:hAnsi="Arial"/>
          <w:bCs/>
          <w:sz w:val="24"/>
          <w:szCs w:val="24"/>
        </w:rPr>
        <w:t>a serem realizadas nos níveis de atenção secundária e terciária.</w:t>
      </w:r>
    </w:p>
    <w:p>
      <w:pPr>
        <w:pStyle w:val="Normal"/>
        <w:spacing w:lineRule="auto" w:line="360" w:before="120" w:after="120"/>
        <w:ind w:firstLine="567"/>
        <w:jc w:val="both"/>
        <w:rPr/>
      </w:pPr>
      <w:r>
        <w:rPr/>
      </w:r>
    </w:p>
    <w:p>
      <w:pPr>
        <w:pStyle w:val="Ttulo3"/>
        <w:numPr>
          <w:ilvl w:val="2"/>
          <w:numId w:val="3"/>
        </w:numPr>
        <w:rPr>
          <w:rStyle w:val="Forte1"/>
        </w:rPr>
      </w:pPr>
      <w:bookmarkStart w:id="31" w:name="_Toc434344423"/>
      <w:bookmarkStart w:id="32" w:name="_Toc434148341"/>
      <w:bookmarkEnd w:id="31"/>
      <w:bookmarkEnd w:id="32"/>
      <w:r>
        <w:rPr>
          <w:rStyle w:val="Forte1"/>
        </w:rPr>
        <w:t>6.1.2 Atribuições e competências dos órgãos que compõem o Serviço de Triagem Auditiva Neonatal</w:t>
      </w:r>
    </w:p>
    <w:p>
      <w:pPr>
        <w:pStyle w:val="Corpodetexto"/>
        <w:rPr/>
      </w:pPr>
      <w:r>
        <w:rPr/>
      </w:r>
    </w:p>
    <w:p>
      <w:pPr>
        <w:pStyle w:val="Normal"/>
        <w:spacing w:lineRule="auto" w:line="360" w:before="120" w:after="120"/>
        <w:ind w:firstLine="567"/>
        <w:jc w:val="both"/>
        <w:rPr>
          <w:rFonts w:ascii="Arial" w:hAnsi="Arial" w:cs="Arial"/>
          <w:sz w:val="24"/>
          <w:szCs w:val="24"/>
        </w:rPr>
      </w:pPr>
      <w:r>
        <w:rPr>
          <w:rFonts w:cs="Arial" w:ascii="Arial" w:hAnsi="Arial"/>
          <w:sz w:val="24"/>
          <w:szCs w:val="24"/>
        </w:rPr>
        <w:t xml:space="preserve">São atribuições e competências da </w:t>
      </w:r>
      <w:r>
        <w:rPr>
          <w:rFonts w:cs="Arial" w:ascii="Arial" w:hAnsi="Arial"/>
          <w:b/>
          <w:bCs/>
          <w:sz w:val="24"/>
          <w:szCs w:val="24"/>
        </w:rPr>
        <w:t>SECRETARIA MUNICIPAL DE SAÚDE (SMS):</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 xml:space="preserve">A SMS deve buscar o cumprimento </w:t>
      </w:r>
      <w:r>
        <w:rPr>
          <w:rFonts w:eastAsia="SimSun" w:cs="Arial" w:ascii="Arial" w:hAnsi="Arial"/>
          <w:sz w:val="24"/>
          <w:szCs w:val="24"/>
          <w:lang w:bidi="hi-IN"/>
        </w:rPr>
        <w:t xml:space="preserve">dentro do prazo estipulado e de acordo com </w:t>
      </w:r>
      <w:r>
        <w:rPr>
          <w:rFonts w:cs="Arial" w:ascii="Arial" w:hAnsi="Arial"/>
          <w:sz w:val="24"/>
          <w:szCs w:val="24"/>
        </w:rPr>
        <w:t>das Diretrizes de Atenção da Triagem Auditiva Neonatal do Ministério da Saúde, especialmente no que se refere a:</w:t>
      </w:r>
    </w:p>
    <w:p>
      <w:pPr>
        <w:pStyle w:val="PadroLTGliederung1"/>
        <w:numPr>
          <w:ilvl w:val="0"/>
          <w:numId w:val="7"/>
        </w:numPr>
        <w:spacing w:lineRule="auto" w:line="360" w:before="120" w:after="120"/>
        <w:ind w:left="1134" w:hanging="567"/>
        <w:jc w:val="both"/>
        <w:rPr>
          <w:rFonts w:ascii="Arial" w:hAnsi="Arial" w:cs="Arial"/>
          <w:sz w:val="24"/>
          <w:szCs w:val="24"/>
        </w:rPr>
      </w:pPr>
      <w:r>
        <w:rPr>
          <w:rFonts w:cs="Arial" w:ascii="Arial" w:hAnsi="Arial"/>
          <w:sz w:val="24"/>
          <w:szCs w:val="24"/>
        </w:rPr>
        <w:t>Incentivar a realização obrigatória da TAN nas instituições municipais e na rede privada (maternidades e nos hospitais);</w:t>
      </w:r>
    </w:p>
    <w:p>
      <w:pPr>
        <w:pStyle w:val="PadroLTGliederung1"/>
        <w:numPr>
          <w:ilvl w:val="0"/>
          <w:numId w:val="7"/>
        </w:numPr>
        <w:spacing w:lineRule="auto" w:line="360" w:before="120" w:after="120"/>
        <w:ind w:left="1134" w:hanging="567"/>
        <w:jc w:val="both"/>
        <w:rPr>
          <w:rFonts w:ascii="Arial" w:hAnsi="Arial" w:cs="Arial"/>
          <w:sz w:val="24"/>
          <w:szCs w:val="24"/>
        </w:rPr>
      </w:pPr>
      <w:r>
        <w:rPr>
          <w:rFonts w:cs="Arial" w:ascii="Arial" w:hAnsi="Arial"/>
          <w:sz w:val="24"/>
          <w:szCs w:val="24"/>
        </w:rPr>
        <w:t>Buscar a aquisição dos equipamentos Emissões Otoacústicas Evocadas (EOAE) e Potenciais Evocados Auditivos de Tronco Encefálico (PEATE) para realização da TAN nos casos em que os neonatos e lactentes não nasceram em maternidades ou hospitais ou outros casos em que a TAN não tenha sido ofertada;</w:t>
      </w:r>
    </w:p>
    <w:p>
      <w:pPr>
        <w:pStyle w:val="PadroLTGliederung1"/>
        <w:numPr>
          <w:ilvl w:val="0"/>
          <w:numId w:val="7"/>
        </w:numPr>
        <w:spacing w:lineRule="auto" w:line="360" w:before="120" w:after="120"/>
        <w:ind w:left="1134" w:hanging="567"/>
        <w:jc w:val="both"/>
        <w:rPr>
          <w:rFonts w:ascii="Arial" w:hAnsi="Arial" w:cs="Arial"/>
          <w:sz w:val="24"/>
          <w:szCs w:val="24"/>
        </w:rPr>
      </w:pPr>
      <w:r>
        <w:rPr>
          <w:rFonts w:cs="Arial" w:ascii="Arial" w:hAnsi="Arial"/>
          <w:sz w:val="24"/>
          <w:szCs w:val="24"/>
        </w:rPr>
        <w:t>Buscar parcerias com profissionais médicos e fonoaudiólogos da rede pública municipal para realização dos testes e retestes com EOAE e PEATE;</w:t>
      </w:r>
    </w:p>
    <w:p>
      <w:pPr>
        <w:pStyle w:val="PadroLTGliederung1"/>
        <w:numPr>
          <w:ilvl w:val="0"/>
          <w:numId w:val="7"/>
        </w:numPr>
        <w:spacing w:lineRule="auto" w:line="360" w:before="120" w:after="120"/>
        <w:ind w:left="1134" w:hanging="567"/>
        <w:jc w:val="both"/>
        <w:rPr>
          <w:rFonts w:ascii="Arial" w:hAnsi="Arial" w:cs="Arial"/>
          <w:sz w:val="24"/>
          <w:szCs w:val="24"/>
        </w:rPr>
      </w:pPr>
      <w:r>
        <w:rPr>
          <w:rFonts w:cs="Arial" w:ascii="Arial" w:hAnsi="Arial"/>
          <w:sz w:val="24"/>
          <w:szCs w:val="24"/>
        </w:rPr>
        <w:t>Buscar parcerias com clínicas ou instituições privadas para realização dos testes e retestes com EOAE e PEATE;</w:t>
      </w:r>
    </w:p>
    <w:p>
      <w:pPr>
        <w:pStyle w:val="PadroLTGliederung1"/>
        <w:numPr>
          <w:ilvl w:val="0"/>
          <w:numId w:val="7"/>
        </w:numPr>
        <w:spacing w:lineRule="auto" w:line="360" w:before="120" w:after="120"/>
        <w:ind w:left="1134" w:hanging="567"/>
        <w:jc w:val="both"/>
        <w:rPr>
          <w:rFonts w:ascii="Arial" w:hAnsi="Arial" w:cs="Arial"/>
          <w:sz w:val="24"/>
          <w:szCs w:val="24"/>
        </w:rPr>
      </w:pPr>
      <w:r>
        <w:rPr>
          <w:rFonts w:cs="Arial" w:ascii="Arial" w:hAnsi="Arial"/>
          <w:sz w:val="24"/>
          <w:szCs w:val="24"/>
        </w:rPr>
        <w:t>Organizar estratégias com outros municípios próximos para a aquisição dos equipamentos e para a oferta dos testes e retestes com EOAE e PEATE;</w:t>
      </w:r>
    </w:p>
    <w:p>
      <w:pPr>
        <w:pStyle w:val="PadroLTGliederung1"/>
        <w:numPr>
          <w:ilvl w:val="0"/>
          <w:numId w:val="7"/>
        </w:numPr>
        <w:spacing w:lineRule="auto" w:line="360" w:before="120" w:after="120"/>
        <w:ind w:left="1134" w:hanging="567"/>
        <w:jc w:val="both"/>
        <w:rPr>
          <w:rFonts w:ascii="Arial" w:hAnsi="Arial" w:eastAsia="SimSun" w:cs="Arial"/>
          <w:sz w:val="24"/>
          <w:szCs w:val="24"/>
          <w:lang w:bidi="hi-IN"/>
        </w:rPr>
      </w:pPr>
      <w:r>
        <w:rPr>
          <w:rFonts w:cs="Arial" w:ascii="Arial" w:hAnsi="Arial"/>
          <w:sz w:val="24"/>
          <w:szCs w:val="24"/>
        </w:rPr>
        <w:t>R</w:t>
      </w:r>
      <w:r>
        <w:rPr>
          <w:rStyle w:val="Strong"/>
          <w:rFonts w:eastAsia="SimSun" w:cs="Arial" w:ascii="Arial" w:hAnsi="Arial"/>
          <w:b w:val="false"/>
          <w:bCs w:val="false"/>
          <w:sz w:val="24"/>
          <w:szCs w:val="24"/>
          <w:lang w:bidi="hi-IN"/>
        </w:rPr>
        <w:t xml:space="preserve">ealizar </w:t>
      </w:r>
      <w:r>
        <w:rPr>
          <w:rFonts w:eastAsia="SimSun" w:cs="Arial" w:ascii="Arial" w:hAnsi="Arial"/>
          <w:sz w:val="24"/>
          <w:szCs w:val="24"/>
          <w:lang w:bidi="hi-IN"/>
        </w:rPr>
        <w:t xml:space="preserve">o monitoramento e acompanhamento mensal do desenvolvimento da audição e da linguagem dos neonatos e lactentes com e sem indicadores de risco que obtiveram respostas satisfatórias na TAN. O monitoramento deve ser na </w:t>
      </w:r>
      <w:r>
        <w:rPr>
          <w:rStyle w:val="Strong"/>
          <w:rFonts w:eastAsia="SimSun" w:cs="Arial" w:ascii="Arial" w:hAnsi="Arial"/>
          <w:b w:val="false"/>
          <w:bCs w:val="false"/>
          <w:sz w:val="24"/>
          <w:szCs w:val="24"/>
          <w:lang w:bidi="hi-IN"/>
        </w:rPr>
        <w:t xml:space="preserve">atenção básica, </w:t>
      </w:r>
      <w:r>
        <w:rPr>
          <w:rFonts w:eastAsia="SimSun" w:cs="Arial" w:ascii="Arial" w:hAnsi="Arial"/>
          <w:sz w:val="24"/>
          <w:szCs w:val="24"/>
          <w:lang w:bidi="hi-IN"/>
        </w:rPr>
        <w:t>na UBS do município, em serviço de fonoaudiologia ou em clínicas referenciadas pelo município para este serviço.</w:t>
      </w:r>
    </w:p>
    <w:p>
      <w:pPr>
        <w:pStyle w:val="PadroLTGliederung1"/>
        <w:numPr>
          <w:ilvl w:val="0"/>
          <w:numId w:val="7"/>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 xml:space="preserve">Encaminhar os neonatos e lactentes sem risco para a deficiência auditiva que falharam no teste PEATE-A (teste da orelhinha com PEATE-A), ao Serviço de Saúde Auditiva de sua referência por meio da </w:t>
      </w:r>
      <w:r>
        <w:rPr>
          <w:rStyle w:val="Strong"/>
          <w:rFonts w:eastAsia="SimSun" w:cs="Arial" w:ascii="Arial" w:hAnsi="Arial"/>
          <w:b w:val="false"/>
          <w:bCs w:val="false"/>
          <w:sz w:val="24"/>
          <w:szCs w:val="24"/>
          <w:lang w:bidi="hi-IN"/>
        </w:rPr>
        <w:t>atenção básica</w:t>
      </w:r>
      <w:r>
        <w:rPr>
          <w:rFonts w:eastAsia="SimSun" w:cs="Arial" w:ascii="Arial" w:hAnsi="Arial"/>
          <w:sz w:val="24"/>
          <w:szCs w:val="24"/>
          <w:lang w:bidi="hi-IN"/>
        </w:rPr>
        <w:t>, nas UBS, que encaminham para a SMS de sua referência, seguindo o fluxo do serviço.</w:t>
      </w:r>
    </w:p>
    <w:p>
      <w:pPr>
        <w:pStyle w:val="PadroLTGliederung1"/>
        <w:numPr>
          <w:ilvl w:val="0"/>
          <w:numId w:val="7"/>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 xml:space="preserve">Encaminhar os neonatos e lactentes com risco para a deficiência auditiva que falharam no reteste do PEATE-A, ao Serviço de Saúde Auditiva de sua referência por meio da </w:t>
      </w:r>
      <w:r>
        <w:rPr>
          <w:rStyle w:val="Strong"/>
          <w:rFonts w:eastAsia="SimSun" w:cs="Arial" w:ascii="Arial" w:hAnsi="Arial"/>
          <w:b w:val="false"/>
          <w:bCs w:val="false"/>
          <w:sz w:val="24"/>
          <w:szCs w:val="24"/>
          <w:lang w:bidi="hi-IN"/>
        </w:rPr>
        <w:t>atenção básica</w:t>
      </w:r>
      <w:r>
        <w:rPr>
          <w:rFonts w:eastAsia="SimSun" w:cs="Arial" w:ascii="Arial" w:hAnsi="Arial"/>
          <w:sz w:val="24"/>
          <w:szCs w:val="24"/>
          <w:lang w:bidi="hi-IN"/>
        </w:rPr>
        <w:t>, nas UBS, que encaminham para a SMS de sua referência, seguindo o fluxo do serviço.</w:t>
      </w:r>
    </w:p>
    <w:p>
      <w:pPr>
        <w:pStyle w:val="PadroLTGliederung1"/>
        <w:numPr>
          <w:ilvl w:val="0"/>
          <w:numId w:val="7"/>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 xml:space="preserve">Utilizar o modelo de “Encaminhamento ao Serviço Ambulatorial de Saúde Auditiva” (Anexo II da Deliberação CIB/240/2015), que deve ser preenchido por médico ou fonoaudiólogo; </w:t>
      </w:r>
    </w:p>
    <w:p>
      <w:pPr>
        <w:pStyle w:val="PadroLTGliederung1"/>
        <w:numPr>
          <w:ilvl w:val="0"/>
          <w:numId w:val="7"/>
        </w:numPr>
        <w:spacing w:lineRule="auto" w:line="360" w:before="120" w:after="120"/>
        <w:ind w:left="1134" w:hanging="567"/>
        <w:jc w:val="both"/>
        <w:rPr>
          <w:rFonts w:ascii="Arial" w:hAnsi="Arial" w:eastAsia="SimSun" w:cs="Arial"/>
          <w:sz w:val="24"/>
          <w:szCs w:val="24"/>
          <w:lang w:bidi="hi-IN"/>
        </w:rPr>
      </w:pPr>
      <w:bookmarkStart w:id="33" w:name="__DdeLink__1920_1411363842"/>
      <w:bookmarkEnd w:id="33"/>
      <w:r>
        <w:rPr>
          <w:rFonts w:eastAsia="SimSun" w:cs="Arial" w:ascii="Arial" w:hAnsi="Arial"/>
          <w:sz w:val="24"/>
          <w:szCs w:val="24"/>
          <w:lang w:bidi="hi-IN"/>
        </w:rPr>
        <w:t>Receber o usuário com deficiência auditiva contrarreferenciado e acompanhá-lo.</w:t>
      </w:r>
    </w:p>
    <w:p>
      <w:pPr>
        <w:pStyle w:val="PadroLTGliederung1"/>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Corpodetexto"/>
        <w:widowContro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 xml:space="preserve">A </w:t>
      </w:r>
      <w:r>
        <w:rPr>
          <w:rStyle w:val="Strong"/>
          <w:rFonts w:eastAsia="SimSun" w:cs="Arial" w:ascii="Arial" w:hAnsi="Arial"/>
          <w:b w:val="false"/>
          <w:bCs w:val="false"/>
          <w:sz w:val="24"/>
          <w:szCs w:val="24"/>
          <w:lang w:bidi="hi-IN"/>
        </w:rPr>
        <w:t xml:space="preserve">atenção básica </w:t>
      </w:r>
      <w:r>
        <w:rPr>
          <w:rFonts w:eastAsia="SimSun" w:cs="Arial" w:ascii="Arial" w:hAnsi="Arial"/>
          <w:sz w:val="24"/>
          <w:szCs w:val="24"/>
          <w:lang w:bidi="hi-IN"/>
        </w:rPr>
        <w:t>deverá encaminhar para diagnóstico, no Serviço Ambulatorial de Saúde Auditiva, qualquer criança que apresente desenvolvimento aquém do esperado e em qualquer momento que os pais ou profissionais tenham uma suspeita de deficiência auditiva. Sugere-se perguntar nas consultas e visitas à família se a criança ouve bem.</w:t>
      </w:r>
    </w:p>
    <w:p>
      <w:pPr>
        <w:pStyle w:val="Corpodetexto"/>
        <w:widowControl/>
        <w:spacing w:lineRule="auto" w:line="360" w:before="120" w:after="120"/>
        <w:ind w:firstLine="567"/>
        <w:jc w:val="both"/>
        <w:rPr>
          <w:rFonts w:ascii="Arial" w:hAnsi="Arial" w:cs="Arial"/>
          <w:sz w:val="24"/>
          <w:szCs w:val="24"/>
        </w:rPr>
      </w:pPr>
      <w:r>
        <w:rPr>
          <w:rFonts w:eastAsia="SimSun" w:cs="Arial" w:ascii="Arial" w:hAnsi="Arial"/>
          <w:sz w:val="24"/>
          <w:szCs w:val="24"/>
          <w:lang w:bidi="hi-IN"/>
        </w:rPr>
        <w:t>A atenção básica deve encaminhar todas as crianças com indicadores de risco, mesmo aquelas com resultado satisfatório na triagem, para monitoramento auditivo em clínicas referenciadas pelo município para este serviço. No caso de constatação de perda auditiva condutiva, a criança permanece em acompanhamento otorrinolaringológico e audiológico no</w:t>
      </w:r>
      <w:bookmarkStart w:id="34" w:name="__DdeLink__2290_512365476"/>
      <w:r>
        <w:rPr>
          <w:rFonts w:eastAsia="SimSun" w:cs="Arial" w:ascii="Arial" w:hAnsi="Arial"/>
          <w:sz w:val="24"/>
          <w:szCs w:val="24"/>
          <w:lang w:bidi="hi-IN"/>
        </w:rPr>
        <w:t xml:space="preserve"> município.</w:t>
      </w:r>
      <w:bookmarkEnd w:id="34"/>
      <w:r>
        <w:rPr>
          <w:rFonts w:eastAsia="SimSun" w:cs="Arial" w:ascii="Arial" w:hAnsi="Arial"/>
          <w:sz w:val="24"/>
          <w:szCs w:val="24"/>
          <w:lang w:bidi="hi-IN"/>
        </w:rPr>
        <w:t xml:space="preserve"> Entretanto, no caso de constatação de perda auditiva neurossensorial, a criança deve ser encaminhada para diagnóstico e reabilitação no SASA. </w:t>
      </w:r>
    </w:p>
    <w:p>
      <w:pPr>
        <w:pStyle w:val="Corpodetexto"/>
        <w:widowControl/>
        <w:spacing w:lineRule="auto" w:line="360" w:before="120" w:after="120"/>
        <w:ind w:firstLine="567"/>
        <w:jc w:val="both"/>
        <w:rPr>
          <w:rFonts w:ascii="Arial" w:hAnsi="Arial" w:cs="Arial"/>
          <w:sz w:val="24"/>
          <w:szCs w:val="24"/>
        </w:rPr>
      </w:pPr>
      <w:r>
        <w:rPr>
          <w:rFonts w:cs="Arial" w:ascii="Arial" w:hAnsi="Arial"/>
          <w:sz w:val="24"/>
          <w:szCs w:val="24"/>
        </w:rPr>
      </w:r>
    </w:p>
    <w:p>
      <w:pPr>
        <w:pStyle w:val="Corpodetexto"/>
        <w:widowContro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 xml:space="preserve">São competências e atribuições dos </w:t>
      </w:r>
      <w:r>
        <w:rPr>
          <w:rFonts w:eastAsia="SimSun" w:cs="Arial" w:ascii="Arial" w:hAnsi="Arial"/>
          <w:b/>
          <w:bCs/>
          <w:sz w:val="24"/>
          <w:szCs w:val="24"/>
          <w:lang w:bidi="hi-IN"/>
        </w:rPr>
        <w:t>PRESTADORES</w:t>
      </w:r>
      <w:r>
        <w:rPr>
          <w:rFonts w:eastAsia="SimSun" w:cs="Arial" w:ascii="Arial" w:hAnsi="Arial"/>
          <w:sz w:val="24"/>
          <w:szCs w:val="24"/>
          <w:lang w:bidi="hi-IN"/>
        </w:rPr>
        <w:t>:</w:t>
      </w:r>
    </w:p>
    <w:p>
      <w:pPr>
        <w:pStyle w:val="Corpodetexto"/>
        <w:widowControl/>
        <w:spacing w:lineRule="auto" w:line="360" w:before="120" w:after="120"/>
        <w:ind w:firstLine="567"/>
        <w:jc w:val="both"/>
        <w:rPr>
          <w:rFonts w:ascii="Arial" w:hAnsi="Arial" w:eastAsia="SimSun" w:cs="Arial"/>
          <w:sz w:val="24"/>
          <w:szCs w:val="24"/>
          <w:lang w:bidi="hi-IN"/>
        </w:rPr>
      </w:pPr>
      <w:r>
        <w:rPr>
          <w:rFonts w:eastAsia="SimSun" w:cs="Arial" w:ascii="Arial" w:hAnsi="Arial"/>
          <w:sz w:val="24"/>
          <w:szCs w:val="24"/>
          <w:lang w:bidi="hi-IN"/>
        </w:rPr>
        <w:t>Os prestadores são serviços de saúde referenciados para realização da TAN nas maternidades públicas e privadas. Estes devem buscar o cumprimento dentro do prazo estipulado e de acordo com as Diretrizes de Atenção da Triagem Auditiva Neonatal do Ministério da Saúde, principalmente nos seguintes itens:</w:t>
      </w:r>
    </w:p>
    <w:p>
      <w:pPr>
        <w:pStyle w:val="Corpodetexto"/>
        <w:widowControl/>
        <w:numPr>
          <w:ilvl w:val="0"/>
          <w:numId w:val="8"/>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Realizar o teste e o reteste da audição com equipamentos Emissões Otoacústicas Evocadas (EOAE) e Potenciais Evocados Auditivos de Tronco Encefálico Automático (PEATE-A), quando necessário;</w:t>
      </w:r>
    </w:p>
    <w:p>
      <w:pPr>
        <w:pStyle w:val="Corpodetexto"/>
        <w:widowControl/>
        <w:numPr>
          <w:ilvl w:val="0"/>
          <w:numId w:val="8"/>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Encaminhar os neonatos e lactentes sem risco para a deficiência auditiva, que passaram no teste/reteste, para o acompanhamento mensal do desenvolvimento da audição e da linguagem, na atenção básica;</w:t>
      </w:r>
    </w:p>
    <w:p>
      <w:pPr>
        <w:pStyle w:val="Corpodetexto"/>
        <w:widowControl/>
        <w:numPr>
          <w:ilvl w:val="0"/>
          <w:numId w:val="8"/>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Encaminhar os neonatos e lactentes com risco para a deficiência auditiva, que passaram no teste/reteste, para monitoramento mensal do desenvolvimento da audição e da linguagem na atenção básica, durante todo o primeiro ano de vida da criança;</w:t>
      </w:r>
    </w:p>
    <w:p>
      <w:pPr>
        <w:pStyle w:val="Corpodetexto"/>
        <w:widowControl/>
        <w:numPr>
          <w:ilvl w:val="0"/>
          <w:numId w:val="8"/>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Encaminhar todas as crianças com indicadores de risco para a deficiência auditiva, mesmo com resultados satisfatórios na triagem, para o monitoramento auditivo com avaliação audiológica (audiometria com reforço visual e medidas de imitância acústica), entre 7 e 12 meses, para os serviços diversos de saúde auditiva;</w:t>
      </w:r>
    </w:p>
    <w:p>
      <w:pPr>
        <w:pStyle w:val="Corpodetexto"/>
        <w:widowControl/>
        <w:numPr>
          <w:ilvl w:val="0"/>
          <w:numId w:val="8"/>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Encaminhar para diagnóstico, para o Serviço Ambulatorial de Saúde Auditiva (SASA), todo o neonato ou lactente que não apresentar respostas adequadas na triagem auditiva neonatal (teste e reteste).</w:t>
      </w:r>
    </w:p>
    <w:p>
      <w:pPr>
        <w:pStyle w:val="Corpodetexto"/>
        <w:widowControl/>
        <w:numPr>
          <w:ilvl w:val="0"/>
          <w:numId w:val="8"/>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Registrar na Caderneta de saúde da Criança os resultados e condutas realizadas.</w:t>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Normal"/>
        <w:spacing w:lineRule="auto" w:line="360" w:before="120" w:after="120"/>
        <w:ind w:firstLine="567"/>
        <w:jc w:val="both"/>
        <w:rPr>
          <w:rFonts w:ascii="Arial" w:hAnsi="Arial" w:cs="Arial"/>
          <w:sz w:val="24"/>
          <w:szCs w:val="24"/>
        </w:rPr>
      </w:pPr>
      <w:r>
        <w:rPr>
          <w:rFonts w:cs="Arial" w:ascii="Arial" w:hAnsi="Arial"/>
          <w:sz w:val="24"/>
          <w:szCs w:val="24"/>
        </w:rPr>
        <w:t xml:space="preserve">São atribuições e competências da </w:t>
      </w:r>
      <w:r>
        <w:rPr>
          <w:rFonts w:cs="Arial" w:ascii="Arial" w:hAnsi="Arial"/>
          <w:b/>
          <w:bCs/>
          <w:sz w:val="24"/>
          <w:szCs w:val="24"/>
        </w:rPr>
        <w:t>SECRETARIA DE ESTADO DA SAÚDE DE SANTA CATARINA (SES):</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A SES deve buscar o cumprimento das Diretrizes de Atenção da Triagem Auditiva Neonatal do Ministério da Saúde, especialmente no que se refere a:</w:t>
      </w:r>
    </w:p>
    <w:p>
      <w:pPr>
        <w:pStyle w:val="PargrafodaLista1"/>
        <w:numPr>
          <w:ilvl w:val="0"/>
          <w:numId w:val="5"/>
        </w:numPr>
        <w:spacing w:lineRule="auto" w:line="360" w:before="120" w:after="120"/>
        <w:ind w:left="1134" w:hanging="567"/>
        <w:jc w:val="both"/>
        <w:rPr>
          <w:rFonts w:ascii="Arial" w:hAnsi="Arial" w:eastAsia="SimSun" w:cs="Arial"/>
          <w:sz w:val="24"/>
          <w:szCs w:val="24"/>
          <w:lang w:bidi="hi-IN"/>
        </w:rPr>
      </w:pPr>
      <w:r>
        <w:rPr>
          <w:rFonts w:cs="Arial" w:ascii="Arial" w:hAnsi="Arial"/>
          <w:sz w:val="24"/>
          <w:szCs w:val="24"/>
        </w:rPr>
        <w:t xml:space="preserve">Atuar em parceria com a </w:t>
      </w:r>
      <w:r>
        <w:rPr>
          <w:rFonts w:eastAsia="SimSun" w:cs="Arial" w:ascii="Arial" w:hAnsi="Arial"/>
          <w:sz w:val="24"/>
          <w:szCs w:val="24"/>
          <w:lang w:bidi="hi-IN"/>
        </w:rPr>
        <w:t>Coordenação da Rede Cegonha no Estado, que é uma estratégia do Ministério da Saúde no âmbito do SUS, do Departamento de Atenção Básica, instituída pela Portaria nº 1.459 de 24 de junho de 2011.</w:t>
      </w:r>
    </w:p>
    <w:p>
      <w:pPr>
        <w:pStyle w:val="PargrafodaLista1"/>
        <w:spacing w:lineRule="auto" w:line="360" w:before="120" w:after="120"/>
        <w:ind w:left="0" w:firstLine="567"/>
        <w:jc w:val="both"/>
        <w:rPr>
          <w:rFonts w:ascii="Arial" w:hAnsi="Arial" w:eastAsia="SimSun" w:cs="Arial"/>
          <w:sz w:val="24"/>
          <w:szCs w:val="24"/>
          <w:lang w:bidi="hi-IN"/>
        </w:rPr>
      </w:pPr>
      <w:r>
        <w:rPr>
          <w:rFonts w:eastAsia="SimSun" w:cs="Arial" w:ascii="Arial" w:hAnsi="Arial"/>
          <w:sz w:val="24"/>
          <w:szCs w:val="24"/>
          <w:lang w:bidi="hi-IN"/>
        </w:rPr>
        <w:t>A Rede Cegonha visa implementar uma rede de cuidados para assegurar às mulheres o direito ao planejamento reprodutivo e a atenção humanizada à gravidez, ao parto e ao puerpério, bem como assegurar às crianças o direito ao nascimento seguro e ao crescimento e desenvolvimento saudáveis.</w:t>
      </w:r>
    </w:p>
    <w:p>
      <w:pPr>
        <w:pStyle w:val="PargrafodaLista1"/>
        <w:numPr>
          <w:ilvl w:val="0"/>
          <w:numId w:val="5"/>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Identificar e fiscalizar as instituições estaduais (maternidades e hospitais) que realizam a TAN;</w:t>
      </w:r>
    </w:p>
    <w:p>
      <w:pPr>
        <w:pStyle w:val="PargrafodaLista1"/>
        <w:numPr>
          <w:ilvl w:val="0"/>
          <w:numId w:val="5"/>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Verificar a necessidade de contratos com empresas terceirizadas, caso a SES não disponha de equipamentos ou profissionais habilitados para executar a TAN;</w:t>
      </w:r>
    </w:p>
    <w:p>
      <w:pPr>
        <w:pStyle w:val="PargrafodaLista1"/>
        <w:numPr>
          <w:ilvl w:val="0"/>
          <w:numId w:val="5"/>
        </w:numPr>
        <w:spacing w:lineRule="auto" w:line="360" w:before="120" w:after="120"/>
        <w:ind w:left="1134" w:hanging="567"/>
        <w:jc w:val="both"/>
        <w:rPr>
          <w:rFonts w:ascii="Arial" w:hAnsi="Arial" w:eastAsia="SimSun" w:cs="Arial"/>
          <w:sz w:val="24"/>
          <w:szCs w:val="24"/>
          <w:lang w:bidi="hi-IN"/>
        </w:rPr>
      </w:pPr>
      <w:r>
        <w:rPr>
          <w:rFonts w:eastAsia="SimSun" w:cs="Arial" w:ascii="Arial" w:hAnsi="Arial"/>
          <w:sz w:val="24"/>
          <w:szCs w:val="24"/>
          <w:lang w:bidi="hi-IN"/>
        </w:rPr>
        <w:t>Orientar as Secretarias Municipais de Saúde quanto à importância, obrigatoriedade e seu papel na realização da TAN e no conhecimento de suas diretrizes;</w:t>
      </w:r>
    </w:p>
    <w:p>
      <w:pPr>
        <w:pStyle w:val="PargrafodaLista1"/>
        <w:numPr>
          <w:ilvl w:val="0"/>
          <w:numId w:val="5"/>
        </w:numPr>
        <w:spacing w:lineRule="auto" w:line="360" w:before="120" w:after="120"/>
        <w:ind w:left="1134" w:hanging="567"/>
        <w:jc w:val="both"/>
        <w:rPr/>
      </w:pPr>
      <w:r>
        <w:rPr>
          <w:rFonts w:eastAsia="SimSun" w:cs="Arial" w:ascii="Arial" w:hAnsi="Arial"/>
          <w:sz w:val="24"/>
          <w:szCs w:val="24"/>
          <w:lang w:bidi="hi-IN"/>
        </w:rPr>
        <w:t>Fiscalizar e elaborar normas para regular os prestadores referenciados na TAN.</w:t>
      </w:r>
    </w:p>
    <w:p>
      <w:pPr>
        <w:pStyle w:val="PargrafodaLista1"/>
        <w:spacing w:lineRule="auto" w:line="360" w:before="120" w:after="120"/>
        <w:ind w:left="0" w:hanging="0"/>
        <w:jc w:val="both"/>
        <w:rPr/>
      </w:pPr>
      <w:r>
        <w:rPr/>
      </w:r>
    </w:p>
    <w:p>
      <w:pPr>
        <w:pStyle w:val="Ttulo2"/>
        <w:rPr>
          <w:rStyle w:val="Forte1"/>
        </w:rPr>
      </w:pPr>
      <w:bookmarkStart w:id="35" w:name="_Toc434344424"/>
      <w:bookmarkStart w:id="36" w:name="_Toc434148342"/>
      <w:r>
        <w:rPr>
          <w:rStyle w:val="Forte1"/>
          <w:rFonts w:eastAsia="SimSun"/>
          <w:lang w:bidi="hi-IN"/>
        </w:rPr>
        <w:t xml:space="preserve">6.2 </w:t>
      </w:r>
      <w:bookmarkEnd w:id="35"/>
      <w:bookmarkEnd w:id="36"/>
      <w:r>
        <w:rPr>
          <w:rStyle w:val="Forte1"/>
        </w:rPr>
        <w:t>Serviço Ambulatorial de Saúde Auditiva (SASA)</w:t>
      </w:r>
    </w:p>
    <w:p>
      <w:pPr>
        <w:pStyle w:val="Corpodetexto"/>
        <w:rPr/>
      </w:pPr>
      <w:r>
        <w:rPr/>
      </w:r>
    </w:p>
    <w:p>
      <w:pPr>
        <w:pStyle w:val="Normal"/>
        <w:spacing w:lineRule="auto" w:line="360" w:before="120" w:after="120"/>
        <w:ind w:firstLine="567"/>
        <w:jc w:val="both"/>
        <w:rPr>
          <w:rFonts w:ascii="Arial" w:hAnsi="Arial" w:cs="Arial"/>
          <w:sz w:val="24"/>
          <w:szCs w:val="24"/>
        </w:rPr>
      </w:pPr>
      <w:bookmarkStart w:id="37" w:name="__RefHeading__2731_41855624"/>
      <w:bookmarkEnd w:id="37"/>
      <w:r>
        <w:rPr>
          <w:rFonts w:cs="Arial" w:ascii="Arial" w:hAnsi="Arial"/>
          <w:sz w:val="24"/>
          <w:szCs w:val="24"/>
        </w:rPr>
        <w:t>As ações de saúde no SASA fazem parte do cuidado contínuo na Rede de cuidados à Saúde da Pessoa com deficiência auditiva.</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As normas de funcionamento, as diretrizes para o fornecimento de AASI, a avaliação diagnóstica necessária para a seleção e indicação do AASI, acompanhamento e reposição de AASI, bem como a terapia fonoaudiológica, estão descritos a seguir de acordo com os Instrutivos de Reabilitação auditiva, física, intelectual e visual (2013) com referências na Portaria GM 793 de 24 de abril de 2012 e na Portaria GM 835 de 25 de abril de 2012.</w:t>
      </w:r>
    </w:p>
    <w:p>
      <w:pPr>
        <w:pStyle w:val="Normal"/>
        <w:spacing w:lineRule="auto" w:line="360" w:before="120" w:after="120"/>
        <w:ind w:firstLine="567"/>
        <w:jc w:val="both"/>
        <w:rPr>
          <w:rStyle w:val="Forte1"/>
          <w:rFonts w:ascii="Arial" w:hAnsi="Arial" w:cs="Arial"/>
          <w:sz w:val="24"/>
          <w:szCs w:val="24"/>
        </w:rPr>
      </w:pPr>
      <w:r>
        <w:rPr>
          <w:rFonts w:cs="Arial" w:ascii="Arial" w:hAnsi="Arial"/>
          <w:sz w:val="24"/>
          <w:szCs w:val="24"/>
        </w:rPr>
      </w:r>
    </w:p>
    <w:p>
      <w:pPr>
        <w:pStyle w:val="Ttulo3"/>
        <w:numPr>
          <w:ilvl w:val="2"/>
          <w:numId w:val="3"/>
        </w:numPr>
        <w:rPr>
          <w:rStyle w:val="Forte1"/>
        </w:rPr>
      </w:pPr>
      <w:bookmarkStart w:id="38" w:name="_Toc434344425"/>
      <w:bookmarkStart w:id="39" w:name="_Toc434148343"/>
      <w:bookmarkEnd w:id="38"/>
      <w:bookmarkEnd w:id="39"/>
      <w:r>
        <w:rPr>
          <w:rStyle w:val="Forte1"/>
        </w:rPr>
        <w:t>6.2.1 Normas de Funcionamento</w:t>
      </w:r>
    </w:p>
    <w:p>
      <w:pPr>
        <w:pStyle w:val="Corpodetexto"/>
        <w:rPr/>
      </w:pPr>
      <w:r>
        <w:rPr/>
      </w:r>
    </w:p>
    <w:p>
      <w:pPr>
        <w:pStyle w:val="Normal"/>
        <w:spacing w:lineRule="auto" w:line="360" w:before="120" w:after="120"/>
        <w:ind w:firstLine="567"/>
        <w:jc w:val="both"/>
        <w:rPr>
          <w:rFonts w:ascii="Arial" w:hAnsi="Arial" w:cs="Arial"/>
          <w:sz w:val="24"/>
          <w:szCs w:val="24"/>
          <w:u w:val="single"/>
        </w:rPr>
      </w:pPr>
      <w:r>
        <w:rPr>
          <w:rFonts w:cs="Arial" w:ascii="Arial" w:hAnsi="Arial"/>
          <w:sz w:val="24"/>
          <w:szCs w:val="24"/>
        </w:rPr>
        <w:t>As normas de funcionamento do Serviço Ambulatorial de Saúde Auditiva devem seguir as referências de funcionamento dos Centros Especializados em Reabilitação (CER), como descrito abaixo:</w:t>
      </w:r>
    </w:p>
    <w:p>
      <w:pPr>
        <w:pStyle w:val="Normal"/>
        <w:spacing w:lineRule="auto" w:line="360" w:before="120" w:after="120"/>
        <w:ind w:firstLine="567"/>
        <w:jc w:val="both"/>
        <w:rPr>
          <w:rFonts w:ascii="Arial" w:hAnsi="Arial" w:cs="Arial"/>
          <w:sz w:val="24"/>
          <w:szCs w:val="24"/>
          <w:u w:val="single"/>
        </w:rPr>
      </w:pPr>
      <w:r>
        <w:rPr>
          <w:rFonts w:cs="Arial" w:ascii="Arial" w:hAnsi="Arial"/>
          <w:sz w:val="24"/>
          <w:szCs w:val="24"/>
          <w:u w:val="single"/>
        </w:rPr>
        <w:t>Das instalações físicas</w:t>
      </w:r>
      <w:r>
        <w:rPr>
          <w:rFonts w:cs="Arial" w:ascii="Arial" w:hAnsi="Arial"/>
          <w:sz w:val="24"/>
          <w:szCs w:val="24"/>
        </w:rPr>
        <w:t>: devem estar em conformidade com as normas da ABNT para Acessibilidade a Edificações, Espaço, Mobiliário e Equipamentos Urbanos (NBR 9050:1994), com o Manual de Ambiência dos Centros Especializados em Reabilitação (CER) e Oficinas Ortopédicas e com o Manual de Identidade Visual da Rede de Cuidados à Pessoa com Deficiência.</w:t>
      </w:r>
    </w:p>
    <w:p>
      <w:pPr>
        <w:pStyle w:val="Normal"/>
        <w:spacing w:lineRule="auto" w:line="360" w:before="120" w:after="120"/>
        <w:ind w:firstLine="567"/>
        <w:jc w:val="both"/>
        <w:rPr>
          <w:rFonts w:ascii="Arial" w:hAnsi="Arial" w:cs="Arial"/>
          <w:sz w:val="24"/>
          <w:szCs w:val="24"/>
        </w:rPr>
      </w:pPr>
      <w:r>
        <w:rPr>
          <w:rFonts w:cs="Arial" w:ascii="Arial" w:hAnsi="Arial"/>
          <w:sz w:val="24"/>
          <w:szCs w:val="24"/>
          <w:u w:val="single"/>
        </w:rPr>
        <w:t>Do horário de funcionamento</w:t>
      </w:r>
      <w:r>
        <w:rPr>
          <w:rFonts w:cs="Arial" w:ascii="Arial" w:hAnsi="Arial"/>
          <w:sz w:val="24"/>
          <w:szCs w:val="24"/>
        </w:rPr>
        <w:t xml:space="preserve">: os serviços de Reabilitação dos CER II, III ou IV, ou seja, duas, três ou quatro modalidades de deficiência, terão funcionamento de no mínimo 8 horas diárias, de segunda a sexta-feira. </w:t>
      </w:r>
    </w:p>
    <w:p>
      <w:pPr>
        <w:pStyle w:val="Normal"/>
        <w:spacing w:lineRule="auto" w:line="360" w:before="120" w:after="120"/>
        <w:ind w:firstLine="567"/>
        <w:jc w:val="both"/>
        <w:rPr/>
      </w:pPr>
      <w:r>
        <w:rPr>
          <w:rFonts w:cs="Arial" w:ascii="Arial" w:hAnsi="Arial"/>
          <w:sz w:val="24"/>
          <w:szCs w:val="24"/>
        </w:rPr>
        <w:t>Para os estabelecimentos habilitados em apenas uma modalidade de reabilitação até a data anterior à publicação das Portarias: MS/GM nº 793 de 24 de abril de 2012 e MS/GM nº 835 de 25 de abril de 2012, permanecem as exigências técnicas estabelecidas quando da data de sua habilitação.</w:t>
      </w:r>
    </w:p>
    <w:p>
      <w:pPr>
        <w:pStyle w:val="Normal"/>
        <w:spacing w:lineRule="auto" w:line="360" w:before="120" w:after="120"/>
        <w:ind w:firstLine="567"/>
        <w:jc w:val="both"/>
        <w:rPr/>
      </w:pPr>
      <w:r>
        <w:rPr/>
      </w:r>
    </w:p>
    <w:p>
      <w:pPr>
        <w:pStyle w:val="Ttulo3"/>
        <w:numPr>
          <w:ilvl w:val="2"/>
          <w:numId w:val="3"/>
        </w:numPr>
        <w:rPr>
          <w:rStyle w:val="Forte1"/>
          <w:bCs w:val="false"/>
        </w:rPr>
      </w:pPr>
      <w:bookmarkStart w:id="40" w:name="_Toc434344426"/>
      <w:bookmarkStart w:id="41" w:name="_Toc434148344"/>
      <w:bookmarkEnd w:id="40"/>
      <w:bookmarkEnd w:id="41"/>
      <w:r>
        <w:rPr>
          <w:rStyle w:val="Forte1"/>
          <w:bCs w:val="false"/>
        </w:rPr>
        <w:t>6.2.2 Diretrizes para o fornecimento de Aparelho de Amplificação Sonora Individual (AASI)</w:t>
      </w:r>
    </w:p>
    <w:p>
      <w:pPr>
        <w:pStyle w:val="Corpodetexto"/>
        <w:rPr/>
      </w:pPr>
      <w:r>
        <w:rPr/>
      </w:r>
    </w:p>
    <w:p>
      <w:pPr>
        <w:pStyle w:val="Normal"/>
        <w:spacing w:lineRule="auto" w:line="360" w:before="120" w:after="120"/>
        <w:ind w:firstLine="567"/>
        <w:jc w:val="both"/>
        <w:rPr>
          <w:rFonts w:ascii="Arial" w:hAnsi="Arial" w:cs="Arial"/>
          <w:sz w:val="24"/>
          <w:szCs w:val="24"/>
        </w:rPr>
      </w:pPr>
      <w:r>
        <w:rPr>
          <w:rFonts w:cs="Arial" w:ascii="Arial" w:hAnsi="Arial"/>
          <w:sz w:val="24"/>
          <w:szCs w:val="24"/>
        </w:rPr>
        <w:t>Os indivíduos que apresentem dificuldades de comunicação decorrentes de uma perda auditiva são candidatos potenciais ao uso de AASI.</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As indicações do uso de AASI seguirão recomendações divididas em três classes fundamentais, adaptadas da literatura médica e fonoaudiológica, conforme segue:</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Classe I: Há consenso quanto à indicação do AASI e o consenso é resultado de estudos a partir de evidências científicas.</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Classe II: Há controvérsia quanto à indicação do AASI, devendo ter justificativa da necessidade.</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Classe III: Há consenso quanto à falta de indicação ou à contraindicação do AASI.</w:t>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Ttulo3"/>
        <w:numPr>
          <w:ilvl w:val="2"/>
          <w:numId w:val="3"/>
        </w:numPr>
        <w:rPr>
          <w:b/>
          <w:b/>
        </w:rPr>
      </w:pPr>
      <w:bookmarkStart w:id="42" w:name="_Toc434344427"/>
      <w:bookmarkStart w:id="43" w:name="_Toc434148345"/>
      <w:bookmarkEnd w:id="42"/>
      <w:bookmarkEnd w:id="43"/>
      <w:r>
        <w:rPr>
          <w:b/>
        </w:rPr>
        <w:t>6.2.3 Critérios de indicação do uso do AASI</w:t>
      </w:r>
    </w:p>
    <w:p>
      <w:pPr>
        <w:pStyle w:val="Corpodetexto"/>
        <w:rPr/>
      </w:pPr>
      <w:r>
        <w:rPr/>
      </w:r>
    </w:p>
    <w:p>
      <w:pPr>
        <w:pStyle w:val="Normal"/>
        <w:spacing w:lineRule="auto" w:line="360" w:before="120" w:after="120"/>
        <w:ind w:firstLine="709"/>
        <w:jc w:val="both"/>
        <w:rPr>
          <w:rFonts w:ascii="Arial" w:hAnsi="Arial" w:cs="Arial"/>
          <w:sz w:val="24"/>
          <w:szCs w:val="24"/>
        </w:rPr>
      </w:pPr>
      <w:r>
        <w:rPr>
          <w:rFonts w:cs="Arial" w:ascii="Arial" w:hAnsi="Arial"/>
          <w:sz w:val="24"/>
          <w:szCs w:val="24"/>
        </w:rPr>
        <w:t>Os critérios de indicação do uso do AASI, conforme as classes descritas, são estabelecidos abaixo:</w:t>
      </w:r>
    </w:p>
    <w:p>
      <w:pPr>
        <w:pStyle w:val="Normal"/>
        <w:spacing w:lineRule="auto" w:line="360" w:before="120" w:after="120"/>
        <w:ind w:firstLine="709"/>
        <w:jc w:val="both"/>
        <w:rPr>
          <w:rFonts w:ascii="Arial" w:hAnsi="Arial" w:cs="Arial"/>
          <w:sz w:val="24"/>
          <w:szCs w:val="24"/>
        </w:rPr>
      </w:pPr>
      <w:r>
        <w:rPr>
          <w:rFonts w:cs="Arial" w:ascii="Arial" w:hAnsi="Arial"/>
          <w:sz w:val="24"/>
          <w:szCs w:val="24"/>
        </w:rPr>
      </w:r>
    </w:p>
    <w:p>
      <w:pPr>
        <w:pStyle w:val="Normal"/>
        <w:spacing w:lineRule="auto" w:line="360" w:before="120" w:after="120"/>
        <w:ind w:firstLine="709"/>
        <w:jc w:val="both"/>
        <w:rPr>
          <w:rFonts w:ascii="Arial" w:hAnsi="Arial" w:cs="Arial"/>
          <w:sz w:val="24"/>
          <w:szCs w:val="24"/>
        </w:rPr>
      </w:pPr>
      <w:r>
        <w:rPr>
          <w:rFonts w:cs="Arial" w:ascii="Arial" w:hAnsi="Arial"/>
          <w:b/>
          <w:sz w:val="24"/>
          <w:szCs w:val="24"/>
        </w:rPr>
        <w:t xml:space="preserve">Classe I  </w:t>
      </w:r>
    </w:p>
    <w:p>
      <w:pPr>
        <w:pStyle w:val="Normal"/>
        <w:numPr>
          <w:ilvl w:val="0"/>
          <w:numId w:val="12"/>
        </w:numPr>
        <w:spacing w:lineRule="auto" w:line="360" w:before="120" w:after="120"/>
        <w:ind w:left="1134" w:hanging="567"/>
        <w:jc w:val="both"/>
        <w:rPr>
          <w:rFonts w:ascii="Arial" w:hAnsi="Arial" w:cs="Arial"/>
          <w:sz w:val="24"/>
          <w:szCs w:val="24"/>
        </w:rPr>
      </w:pPr>
      <w:r>
        <w:rPr>
          <w:rFonts w:cs="Arial" w:ascii="Arial" w:hAnsi="Arial"/>
          <w:sz w:val="24"/>
          <w:szCs w:val="24"/>
        </w:rPr>
        <w:t xml:space="preserve">Adultos com perda auditiva bilateral permanente que apresentem, no melhor ouvido, média dos limiares tonais nas frequências de 500, 1000 e 2000 Hz, superior a 40 dB NA;  </w:t>
      </w:r>
    </w:p>
    <w:p>
      <w:pPr>
        <w:pStyle w:val="Normal"/>
        <w:numPr>
          <w:ilvl w:val="0"/>
          <w:numId w:val="12"/>
        </w:numPr>
        <w:spacing w:lineRule="auto" w:line="360" w:before="120" w:after="120"/>
        <w:ind w:left="1134" w:hanging="567"/>
        <w:jc w:val="both"/>
        <w:rPr>
          <w:rFonts w:ascii="Arial" w:hAnsi="Arial" w:cs="Arial"/>
          <w:sz w:val="24"/>
          <w:szCs w:val="24"/>
        </w:rPr>
      </w:pPr>
      <w:r>
        <w:rPr>
          <w:rFonts w:cs="Arial" w:ascii="Arial" w:hAnsi="Arial"/>
          <w:sz w:val="24"/>
          <w:szCs w:val="24"/>
        </w:rPr>
        <w:t>Crianças (até 15 anos incompletos) com perda auditiva bilateral permanente que apresentem, no melhor ouvido, média dos limiares tonais nas frequências de 500, 1000 e 2000 Hz, superior a 30 dBNA.</w:t>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ind w:firstLine="709"/>
        <w:jc w:val="both"/>
        <w:rPr>
          <w:rFonts w:ascii="Arial" w:hAnsi="Arial" w:cs="Arial"/>
          <w:sz w:val="24"/>
          <w:szCs w:val="24"/>
        </w:rPr>
      </w:pPr>
      <w:r>
        <w:rPr>
          <w:rFonts w:cs="Arial" w:ascii="Arial" w:hAnsi="Arial"/>
          <w:b/>
          <w:sz w:val="24"/>
          <w:szCs w:val="24"/>
        </w:rPr>
        <w:t xml:space="preserve">Classe II </w:t>
      </w:r>
    </w:p>
    <w:p>
      <w:pPr>
        <w:pStyle w:val="Normal"/>
        <w:numPr>
          <w:ilvl w:val="0"/>
          <w:numId w:val="13"/>
        </w:numPr>
        <w:spacing w:lineRule="auto" w:line="360" w:before="120" w:after="120"/>
        <w:ind w:left="1134" w:hanging="567"/>
        <w:jc w:val="both"/>
        <w:rPr>
          <w:rFonts w:ascii="Arial" w:hAnsi="Arial" w:cs="Arial"/>
          <w:sz w:val="24"/>
          <w:szCs w:val="24"/>
        </w:rPr>
      </w:pPr>
      <w:r>
        <w:rPr>
          <w:rFonts w:cs="Arial" w:ascii="Arial" w:hAnsi="Arial"/>
          <w:sz w:val="24"/>
          <w:szCs w:val="24"/>
        </w:rPr>
        <w:t xml:space="preserve">Crianças com perdas auditivas cuja média dos limiares de audibilidade encontra-se entre 20 dBNA e 30 dBNA (perdas auditivas mínimas);  </w:t>
      </w:r>
    </w:p>
    <w:p>
      <w:pPr>
        <w:pStyle w:val="Normal"/>
        <w:numPr>
          <w:ilvl w:val="0"/>
          <w:numId w:val="13"/>
        </w:numPr>
        <w:spacing w:lineRule="auto" w:line="360" w:before="120" w:after="120"/>
        <w:ind w:left="1134" w:hanging="567"/>
        <w:jc w:val="both"/>
        <w:rPr>
          <w:rFonts w:ascii="Arial" w:hAnsi="Arial" w:cs="Arial"/>
          <w:sz w:val="24"/>
          <w:szCs w:val="24"/>
        </w:rPr>
      </w:pPr>
      <w:r>
        <w:rPr>
          <w:rFonts w:cs="Arial" w:ascii="Arial" w:hAnsi="Arial"/>
          <w:sz w:val="24"/>
          <w:szCs w:val="24"/>
        </w:rPr>
        <w:t xml:space="preserve">Indivíduos com perdas auditivas unilaterais (desde que apresentem dificuldades de integração social e/ou profissional);  </w:t>
      </w:r>
    </w:p>
    <w:p>
      <w:pPr>
        <w:pStyle w:val="Normal"/>
        <w:numPr>
          <w:ilvl w:val="0"/>
          <w:numId w:val="13"/>
        </w:numPr>
        <w:spacing w:lineRule="auto" w:line="360" w:before="120" w:after="120"/>
        <w:ind w:left="1134" w:hanging="567"/>
        <w:jc w:val="both"/>
        <w:rPr>
          <w:rFonts w:ascii="Arial" w:hAnsi="Arial" w:cs="Arial"/>
          <w:sz w:val="24"/>
          <w:szCs w:val="24"/>
        </w:rPr>
      </w:pPr>
      <w:r>
        <w:rPr>
          <w:rFonts w:cs="Arial" w:ascii="Arial" w:hAnsi="Arial"/>
          <w:sz w:val="24"/>
          <w:szCs w:val="24"/>
        </w:rPr>
        <w:t xml:space="preserve">Indivíduos com perda auditiva flutuante bilateral (desde que tenham monitoramento médico e audiológico sistemático); </w:t>
      </w:r>
    </w:p>
    <w:p>
      <w:pPr>
        <w:pStyle w:val="Normal"/>
        <w:numPr>
          <w:ilvl w:val="0"/>
          <w:numId w:val="13"/>
        </w:numPr>
        <w:spacing w:lineRule="auto" w:line="360" w:before="120" w:after="120"/>
        <w:ind w:left="1134" w:hanging="567"/>
        <w:jc w:val="both"/>
        <w:rPr>
          <w:rFonts w:ascii="Arial" w:hAnsi="Arial" w:cs="Arial"/>
          <w:sz w:val="24"/>
          <w:szCs w:val="24"/>
        </w:rPr>
      </w:pPr>
      <w:r>
        <w:rPr>
          <w:rFonts w:cs="Arial" w:ascii="Arial" w:hAnsi="Arial"/>
          <w:sz w:val="24"/>
          <w:szCs w:val="24"/>
        </w:rPr>
        <w:t xml:space="preserve">Indivíduos adultos com perda auditiva profunda bilateral pré-lingual, não oralizados (desde que apresentem, no mínimo, detecção de fala com amplificação); </w:t>
      </w:r>
    </w:p>
    <w:p>
      <w:pPr>
        <w:pStyle w:val="Normal"/>
        <w:numPr>
          <w:ilvl w:val="0"/>
          <w:numId w:val="13"/>
        </w:numPr>
        <w:spacing w:lineRule="auto" w:line="360" w:before="120" w:after="120"/>
        <w:ind w:left="1134" w:hanging="567"/>
        <w:jc w:val="both"/>
        <w:rPr>
          <w:rFonts w:ascii="Arial" w:hAnsi="Arial" w:cs="Arial"/>
          <w:sz w:val="24"/>
          <w:szCs w:val="24"/>
        </w:rPr>
      </w:pPr>
      <w:r>
        <w:rPr>
          <w:rFonts w:cs="Arial" w:ascii="Arial" w:hAnsi="Arial"/>
          <w:sz w:val="24"/>
          <w:szCs w:val="24"/>
        </w:rPr>
        <w:t xml:space="preserve">Indivíduos adultos com perda auditiva e distúrbios neuropsicomotores graves, sem adaptação anterior de AASI e sem uso de comunicação oral; </w:t>
      </w:r>
    </w:p>
    <w:p>
      <w:pPr>
        <w:pStyle w:val="Normal"/>
        <w:numPr>
          <w:ilvl w:val="0"/>
          <w:numId w:val="13"/>
        </w:numPr>
        <w:spacing w:lineRule="auto" w:line="360" w:before="120" w:after="120"/>
        <w:ind w:left="1134" w:hanging="567"/>
        <w:jc w:val="both"/>
        <w:rPr>
          <w:rFonts w:ascii="Arial" w:hAnsi="Arial" w:cs="Arial"/>
          <w:sz w:val="24"/>
          <w:szCs w:val="24"/>
        </w:rPr>
      </w:pPr>
      <w:r>
        <w:rPr>
          <w:rFonts w:cs="Arial" w:ascii="Arial" w:hAnsi="Arial"/>
          <w:sz w:val="24"/>
          <w:szCs w:val="24"/>
        </w:rPr>
        <w:t xml:space="preserve">Indivíduos com alterações neurais ou retrococleares (após diagnóstico etiológico estabelecido); </w:t>
      </w:r>
    </w:p>
    <w:p>
      <w:pPr>
        <w:pStyle w:val="Normal"/>
        <w:numPr>
          <w:ilvl w:val="0"/>
          <w:numId w:val="13"/>
        </w:numPr>
        <w:spacing w:lineRule="auto" w:line="360" w:before="120" w:after="120"/>
        <w:ind w:left="1134" w:hanging="567"/>
        <w:jc w:val="both"/>
        <w:rPr>
          <w:rFonts w:ascii="Arial" w:hAnsi="Arial" w:cs="Arial"/>
          <w:sz w:val="24"/>
          <w:szCs w:val="24"/>
        </w:rPr>
      </w:pPr>
      <w:r>
        <w:rPr>
          <w:rFonts w:cs="Arial" w:ascii="Arial" w:hAnsi="Arial"/>
          <w:sz w:val="24"/>
          <w:szCs w:val="24"/>
        </w:rPr>
        <w:t>Perda auditiva limitada a frequências acima de 3000 Hz.</w:t>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ind w:firstLine="709"/>
        <w:jc w:val="both"/>
        <w:rPr>
          <w:rFonts w:ascii="Arial" w:hAnsi="Arial" w:cs="Arial"/>
          <w:sz w:val="24"/>
          <w:szCs w:val="24"/>
        </w:rPr>
      </w:pPr>
      <w:r>
        <w:rPr>
          <w:rFonts w:cs="Arial" w:ascii="Arial" w:hAnsi="Arial"/>
          <w:b/>
          <w:sz w:val="24"/>
          <w:szCs w:val="24"/>
        </w:rPr>
        <w:t xml:space="preserve">Classe III </w:t>
      </w:r>
    </w:p>
    <w:p>
      <w:pPr>
        <w:pStyle w:val="Normal"/>
        <w:numPr>
          <w:ilvl w:val="0"/>
          <w:numId w:val="14"/>
        </w:numPr>
        <w:spacing w:lineRule="auto" w:line="360" w:before="120" w:after="120"/>
        <w:ind w:left="1134" w:hanging="567"/>
        <w:jc w:val="both"/>
        <w:rPr>
          <w:rFonts w:ascii="Arial" w:hAnsi="Arial" w:cs="Arial"/>
          <w:sz w:val="24"/>
          <w:szCs w:val="24"/>
        </w:rPr>
      </w:pPr>
      <w:r>
        <w:rPr>
          <w:rFonts w:cs="Arial" w:ascii="Arial" w:hAnsi="Arial"/>
          <w:sz w:val="24"/>
          <w:szCs w:val="24"/>
        </w:rPr>
        <w:t>Intolerância a amplificação devido a desconforto acústico intenso, tendo sido esgotadas as possibilidades de ajustes da saída do AASI;</w:t>
      </w:r>
    </w:p>
    <w:p>
      <w:pPr>
        <w:pStyle w:val="Normal"/>
        <w:numPr>
          <w:ilvl w:val="0"/>
          <w:numId w:val="14"/>
        </w:numPr>
        <w:spacing w:lineRule="auto" w:line="360" w:before="120" w:after="120"/>
        <w:ind w:left="1134" w:hanging="567"/>
        <w:jc w:val="both"/>
        <w:rPr>
          <w:rFonts w:ascii="Arial" w:hAnsi="Arial" w:cs="Arial"/>
          <w:sz w:val="24"/>
          <w:szCs w:val="24"/>
        </w:rPr>
      </w:pPr>
      <w:r>
        <w:rPr>
          <w:rFonts w:cs="Arial" w:ascii="Arial" w:hAnsi="Arial"/>
          <w:sz w:val="24"/>
          <w:szCs w:val="24"/>
        </w:rPr>
        <w:t>Anacusia unilateral com audição normal no ouvido contralateral.</w:t>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Ttulo2"/>
        <w:rPr>
          <w:b/>
          <w:b/>
        </w:rPr>
      </w:pPr>
      <w:bookmarkStart w:id="44" w:name="_Toc434344428"/>
      <w:bookmarkStart w:id="45" w:name="_Toc434148346"/>
      <w:bookmarkEnd w:id="44"/>
      <w:bookmarkEnd w:id="45"/>
      <w:r>
        <w:rPr>
          <w:b/>
        </w:rPr>
        <w:t>6.2.4 Critérios para avaliação diagnóstica</w:t>
      </w:r>
    </w:p>
    <w:p>
      <w:pPr>
        <w:pStyle w:val="Corpodetexto"/>
        <w:rPr>
          <w:rFonts w:eastAsia="SimSun"/>
        </w:rPr>
      </w:pPr>
      <w:r>
        <w:rPr>
          <w:rFonts w:eastAsia="SimSun"/>
        </w:rPr>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tab/>
        <w:t>No que se refere à avaliação diagnóstica e indicação do uso de AASI, deve-se considerar:</w:t>
      </w:r>
    </w:p>
    <w:p>
      <w:pPr>
        <w:pStyle w:val="Normal"/>
        <w:spacing w:lineRule="auto" w:line="360" w:before="120" w:after="120"/>
        <w:jc w:val="both"/>
        <w:rPr>
          <w:rFonts w:ascii="Arial" w:hAnsi="Arial" w:eastAsia="SimSun" w:cs="Arial"/>
          <w:sz w:val="24"/>
          <w:szCs w:val="24"/>
          <w:lang w:bidi="hi-IN"/>
        </w:rPr>
      </w:pPr>
      <w:r>
        <w:rPr>
          <w:rFonts w:eastAsia="SimSun" w:cs="Arial" w:ascii="Arial" w:hAnsi="Arial"/>
          <w:sz w:val="24"/>
          <w:szCs w:val="24"/>
          <w:lang w:bidi="hi-IN"/>
        </w:rPr>
      </w:r>
    </w:p>
    <w:p>
      <w:pPr>
        <w:pStyle w:val="Normal"/>
        <w:keepLines/>
        <w:spacing w:lineRule="auto" w:line="360" w:before="120" w:after="120"/>
        <w:jc w:val="both"/>
        <w:rPr>
          <w:rFonts w:ascii="Arial" w:hAnsi="Arial" w:cs="Arial"/>
          <w:sz w:val="24"/>
          <w:szCs w:val="24"/>
        </w:rPr>
      </w:pPr>
      <w:r>
        <w:rPr>
          <w:rFonts w:cs="Arial" w:ascii="Arial" w:hAnsi="Arial"/>
          <w:b/>
          <w:sz w:val="24"/>
          <w:szCs w:val="24"/>
        </w:rPr>
        <w:t>Usuários de até três anos de idade:</w:t>
      </w:r>
    </w:p>
    <w:p>
      <w:pPr>
        <w:pStyle w:val="Normal"/>
        <w:keepLines/>
        <w:numPr>
          <w:ilvl w:val="0"/>
          <w:numId w:val="15"/>
        </w:numPr>
        <w:spacing w:lineRule="auto" w:line="360" w:before="120" w:after="120"/>
        <w:ind w:left="1134" w:hanging="567"/>
        <w:jc w:val="both"/>
        <w:rPr>
          <w:rFonts w:ascii="Arial" w:hAnsi="Arial" w:cs="Arial"/>
          <w:sz w:val="24"/>
          <w:szCs w:val="24"/>
        </w:rPr>
      </w:pPr>
      <w:r>
        <w:rPr>
          <w:rFonts w:cs="Arial" w:ascii="Arial" w:hAnsi="Arial"/>
          <w:sz w:val="24"/>
          <w:szCs w:val="24"/>
        </w:rPr>
        <w:t>Avaliação otorrinolaringológica;</w:t>
      </w:r>
    </w:p>
    <w:p>
      <w:pPr>
        <w:pStyle w:val="Normal"/>
        <w:keepLines/>
        <w:numPr>
          <w:ilvl w:val="0"/>
          <w:numId w:val="15"/>
        </w:numPr>
        <w:spacing w:lineRule="auto" w:line="360" w:before="120" w:after="120"/>
        <w:ind w:left="1134" w:hanging="567"/>
        <w:jc w:val="both"/>
        <w:rPr>
          <w:rFonts w:ascii="Arial" w:hAnsi="Arial" w:cs="Arial"/>
          <w:sz w:val="24"/>
          <w:szCs w:val="24"/>
        </w:rPr>
      </w:pPr>
      <w:r>
        <w:rPr>
          <w:rFonts w:cs="Arial" w:ascii="Arial" w:hAnsi="Arial"/>
          <w:sz w:val="24"/>
          <w:szCs w:val="24"/>
        </w:rPr>
        <w:t>Avaliação audiológica:</w:t>
      </w:r>
    </w:p>
    <w:p>
      <w:pPr>
        <w:pStyle w:val="Normal"/>
        <w:keepLines/>
        <w:numPr>
          <w:ilvl w:val="1"/>
          <w:numId w:val="15"/>
        </w:numPr>
        <w:spacing w:lineRule="auto" w:line="360" w:before="120" w:after="120"/>
        <w:ind w:left="1701" w:hanging="567"/>
        <w:jc w:val="both"/>
        <w:rPr>
          <w:rFonts w:ascii="Arial" w:hAnsi="Arial" w:cs="Arial"/>
          <w:sz w:val="24"/>
          <w:szCs w:val="24"/>
        </w:rPr>
      </w:pPr>
      <w:r>
        <w:rPr>
          <w:rFonts w:cs="Arial" w:ascii="Arial" w:hAnsi="Arial"/>
          <w:sz w:val="24"/>
          <w:szCs w:val="24"/>
        </w:rPr>
        <w:t>Anamnese fonoaudiológica;</w:t>
      </w:r>
    </w:p>
    <w:p>
      <w:pPr>
        <w:pStyle w:val="Normal"/>
        <w:keepLines/>
        <w:numPr>
          <w:ilvl w:val="1"/>
          <w:numId w:val="15"/>
        </w:numPr>
        <w:spacing w:lineRule="auto" w:line="360" w:before="120" w:after="120"/>
        <w:ind w:left="1701" w:hanging="567"/>
        <w:jc w:val="both"/>
        <w:rPr>
          <w:rFonts w:ascii="Arial" w:hAnsi="Arial" w:cs="Arial"/>
          <w:sz w:val="24"/>
          <w:szCs w:val="24"/>
        </w:rPr>
      </w:pPr>
      <w:r>
        <w:rPr>
          <w:rFonts w:cs="Arial" w:ascii="Arial" w:hAnsi="Arial"/>
          <w:sz w:val="24"/>
          <w:szCs w:val="24"/>
        </w:rPr>
        <w:t xml:space="preserve">Audiometria de reforço visual (VRA) ou audiometria lúdica, realizada preferencialmente com fones de inserção; </w:t>
      </w:r>
    </w:p>
    <w:p>
      <w:pPr>
        <w:pStyle w:val="Normal"/>
        <w:keepLines/>
        <w:numPr>
          <w:ilvl w:val="1"/>
          <w:numId w:val="15"/>
        </w:numPr>
        <w:spacing w:lineRule="auto" w:line="360" w:before="120" w:after="120"/>
        <w:ind w:left="1701" w:hanging="567"/>
        <w:jc w:val="both"/>
        <w:rPr>
          <w:rFonts w:ascii="Arial" w:hAnsi="Arial" w:cs="Arial"/>
          <w:sz w:val="24"/>
          <w:szCs w:val="24"/>
        </w:rPr>
      </w:pPr>
      <w:r>
        <w:rPr>
          <w:rFonts w:cs="Arial" w:ascii="Arial" w:hAnsi="Arial"/>
          <w:sz w:val="24"/>
          <w:szCs w:val="24"/>
        </w:rPr>
        <w:t>Imitanciometria;</w:t>
      </w:r>
    </w:p>
    <w:p>
      <w:pPr>
        <w:pStyle w:val="Normal"/>
        <w:keepLines/>
        <w:numPr>
          <w:ilvl w:val="1"/>
          <w:numId w:val="15"/>
        </w:numPr>
        <w:spacing w:lineRule="auto" w:line="360" w:before="120" w:after="120"/>
        <w:ind w:left="1701" w:hanging="567"/>
        <w:jc w:val="both"/>
        <w:rPr>
          <w:rFonts w:ascii="Arial" w:hAnsi="Arial" w:cs="Arial"/>
          <w:sz w:val="24"/>
          <w:szCs w:val="24"/>
        </w:rPr>
      </w:pPr>
      <w:r>
        <w:rPr>
          <w:rFonts w:cs="Arial" w:ascii="Arial" w:hAnsi="Arial"/>
          <w:sz w:val="24"/>
          <w:szCs w:val="24"/>
        </w:rPr>
        <w:t>Observação de respostas comportamentais a estímulos sonoros;</w:t>
      </w:r>
    </w:p>
    <w:p>
      <w:pPr>
        <w:pStyle w:val="Normal"/>
        <w:keepLines/>
        <w:numPr>
          <w:ilvl w:val="1"/>
          <w:numId w:val="15"/>
        </w:numPr>
        <w:spacing w:lineRule="auto" w:line="360" w:before="120" w:after="120"/>
        <w:ind w:left="1701" w:hanging="567"/>
        <w:jc w:val="both"/>
        <w:rPr>
          <w:rFonts w:ascii="Arial" w:hAnsi="Arial" w:cs="Arial"/>
          <w:sz w:val="24"/>
          <w:szCs w:val="24"/>
        </w:rPr>
      </w:pPr>
      <w:r>
        <w:rPr>
          <w:rFonts w:cs="Arial" w:ascii="Arial" w:hAnsi="Arial"/>
          <w:sz w:val="24"/>
          <w:szCs w:val="24"/>
        </w:rPr>
        <w:t>Emissões otoacústicas evocadas por transiente e produto de distorção;</w:t>
      </w:r>
    </w:p>
    <w:p>
      <w:pPr>
        <w:pStyle w:val="Normal"/>
        <w:keepLines/>
        <w:numPr>
          <w:ilvl w:val="1"/>
          <w:numId w:val="15"/>
        </w:numPr>
        <w:spacing w:lineRule="auto" w:line="360" w:before="120" w:after="120"/>
        <w:ind w:left="1701" w:hanging="567"/>
        <w:jc w:val="both"/>
        <w:rPr>
          <w:rFonts w:ascii="Arial" w:hAnsi="Arial" w:cs="Arial"/>
          <w:sz w:val="24"/>
          <w:szCs w:val="24"/>
        </w:rPr>
      </w:pPr>
      <w:r>
        <w:rPr>
          <w:rFonts w:cs="Arial" w:ascii="Arial" w:hAnsi="Arial"/>
          <w:sz w:val="24"/>
          <w:szCs w:val="24"/>
        </w:rPr>
        <w:t xml:space="preserve">Potencial Evocado Auditivo de Tronco Encefálico (PEATE) de curta e/ou média latência com especificidade de frequência, quando houver perda auditiva; </w:t>
      </w:r>
    </w:p>
    <w:p>
      <w:pPr>
        <w:pStyle w:val="Normal"/>
        <w:keepLines/>
        <w:numPr>
          <w:ilvl w:val="0"/>
          <w:numId w:val="15"/>
        </w:numPr>
        <w:spacing w:lineRule="auto" w:line="360" w:before="120" w:after="120"/>
        <w:ind w:left="1134" w:hanging="567"/>
        <w:jc w:val="both"/>
        <w:rPr>
          <w:rFonts w:ascii="Arial" w:hAnsi="Arial" w:cs="Arial"/>
          <w:sz w:val="24"/>
          <w:szCs w:val="24"/>
        </w:rPr>
      </w:pPr>
      <w:r>
        <w:rPr>
          <w:rFonts w:cs="Arial" w:ascii="Arial" w:hAnsi="Arial"/>
          <w:sz w:val="24"/>
          <w:szCs w:val="24"/>
        </w:rPr>
        <w:t>Medida da diferença entre o acoplador de 2,0 ml e a orelha real (RECD);</w:t>
      </w:r>
    </w:p>
    <w:p>
      <w:pPr>
        <w:pStyle w:val="Normal"/>
        <w:keepLines/>
        <w:numPr>
          <w:ilvl w:val="0"/>
          <w:numId w:val="15"/>
        </w:numPr>
        <w:spacing w:lineRule="auto" w:line="360" w:before="120" w:after="120"/>
        <w:ind w:left="1134" w:hanging="567"/>
        <w:jc w:val="both"/>
        <w:rPr>
          <w:rFonts w:ascii="Arial" w:hAnsi="Arial" w:cs="Arial"/>
          <w:sz w:val="24"/>
          <w:szCs w:val="24"/>
        </w:rPr>
      </w:pPr>
      <w:r>
        <w:rPr>
          <w:rFonts w:cs="Arial" w:ascii="Arial" w:hAnsi="Arial"/>
          <w:sz w:val="24"/>
          <w:szCs w:val="24"/>
        </w:rPr>
        <w:t>Avaliação da linguagem;</w:t>
      </w:r>
    </w:p>
    <w:p>
      <w:pPr>
        <w:pStyle w:val="Normal"/>
        <w:keepLines/>
        <w:numPr>
          <w:ilvl w:val="0"/>
          <w:numId w:val="15"/>
        </w:numPr>
        <w:spacing w:lineRule="auto" w:line="360" w:before="120" w:after="120"/>
        <w:ind w:left="1134" w:hanging="567"/>
        <w:jc w:val="both"/>
        <w:rPr>
          <w:rFonts w:ascii="Arial" w:hAnsi="Arial" w:cs="Arial"/>
          <w:sz w:val="24"/>
          <w:szCs w:val="24"/>
        </w:rPr>
      </w:pPr>
      <w:r>
        <w:rPr>
          <w:rFonts w:cs="Arial" w:ascii="Arial" w:hAnsi="Arial"/>
          <w:sz w:val="24"/>
          <w:szCs w:val="24"/>
        </w:rPr>
        <w:t>Testes de percepção da fala;</w:t>
      </w:r>
    </w:p>
    <w:p>
      <w:pPr>
        <w:pStyle w:val="Normal"/>
        <w:keepLines/>
        <w:numPr>
          <w:ilvl w:val="0"/>
          <w:numId w:val="15"/>
        </w:numPr>
        <w:spacing w:lineRule="auto" w:line="360" w:before="120" w:after="120"/>
        <w:ind w:left="1134" w:hanging="567"/>
        <w:jc w:val="both"/>
        <w:rPr>
          <w:rFonts w:ascii="Arial" w:hAnsi="Arial" w:cs="Arial"/>
          <w:sz w:val="24"/>
          <w:szCs w:val="24"/>
        </w:rPr>
      </w:pPr>
      <w:r>
        <w:rPr>
          <w:rFonts w:cs="Arial" w:ascii="Arial" w:hAnsi="Arial"/>
          <w:sz w:val="24"/>
          <w:szCs w:val="24"/>
        </w:rPr>
        <w:t>Questionários de avaliação do desempenho auditivo.</w:t>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b/>
          <w:sz w:val="24"/>
          <w:szCs w:val="24"/>
        </w:rPr>
        <w:t xml:space="preserve">Usuários acima de três anos de idade: </w:t>
      </w:r>
    </w:p>
    <w:p>
      <w:pPr>
        <w:pStyle w:val="Normal"/>
        <w:numPr>
          <w:ilvl w:val="0"/>
          <w:numId w:val="16"/>
        </w:numPr>
        <w:spacing w:lineRule="auto" w:line="360" w:before="120" w:after="120"/>
        <w:ind w:left="1134" w:hanging="567"/>
        <w:jc w:val="both"/>
        <w:rPr>
          <w:rFonts w:ascii="Arial" w:hAnsi="Arial" w:cs="Arial"/>
          <w:sz w:val="24"/>
          <w:szCs w:val="24"/>
        </w:rPr>
      </w:pPr>
      <w:r>
        <w:rPr>
          <w:rFonts w:cs="Arial" w:ascii="Arial" w:hAnsi="Arial"/>
          <w:sz w:val="24"/>
          <w:szCs w:val="24"/>
        </w:rPr>
        <w:t>Avaliação otorrinolaringológica;</w:t>
      </w:r>
    </w:p>
    <w:p>
      <w:pPr>
        <w:pStyle w:val="Normal"/>
        <w:numPr>
          <w:ilvl w:val="0"/>
          <w:numId w:val="16"/>
        </w:numPr>
        <w:spacing w:lineRule="auto" w:line="360" w:before="120" w:after="120"/>
        <w:ind w:left="1134" w:hanging="567"/>
        <w:jc w:val="both"/>
        <w:rPr>
          <w:rFonts w:ascii="Arial" w:hAnsi="Arial" w:cs="Arial"/>
          <w:sz w:val="24"/>
          <w:szCs w:val="24"/>
        </w:rPr>
      </w:pPr>
      <w:r>
        <w:rPr>
          <w:rFonts w:cs="Arial" w:ascii="Arial" w:hAnsi="Arial"/>
          <w:sz w:val="24"/>
          <w:szCs w:val="24"/>
        </w:rPr>
        <w:t>Avaliação audiológica;</w:t>
      </w:r>
    </w:p>
    <w:p>
      <w:pPr>
        <w:pStyle w:val="Normal"/>
        <w:numPr>
          <w:ilvl w:val="1"/>
          <w:numId w:val="16"/>
        </w:numPr>
        <w:spacing w:lineRule="auto" w:line="360" w:before="120" w:after="120"/>
        <w:ind w:left="1701" w:hanging="567"/>
        <w:jc w:val="both"/>
        <w:rPr>
          <w:rFonts w:ascii="Arial" w:hAnsi="Arial" w:cs="Arial"/>
          <w:sz w:val="24"/>
          <w:szCs w:val="24"/>
        </w:rPr>
      </w:pPr>
      <w:r>
        <w:rPr>
          <w:rFonts w:cs="Arial" w:ascii="Arial" w:hAnsi="Arial"/>
          <w:sz w:val="24"/>
          <w:szCs w:val="24"/>
        </w:rPr>
        <w:t>Anamnese fonoaudiológica;</w:t>
      </w:r>
    </w:p>
    <w:p>
      <w:pPr>
        <w:pStyle w:val="Normal"/>
        <w:numPr>
          <w:ilvl w:val="1"/>
          <w:numId w:val="16"/>
        </w:numPr>
        <w:spacing w:lineRule="auto" w:line="360" w:before="120" w:after="120"/>
        <w:ind w:left="1701" w:hanging="567"/>
        <w:jc w:val="both"/>
        <w:rPr>
          <w:rFonts w:ascii="Arial" w:hAnsi="Arial" w:cs="Arial"/>
          <w:sz w:val="24"/>
          <w:szCs w:val="24"/>
        </w:rPr>
      </w:pPr>
      <w:r>
        <w:rPr>
          <w:rFonts w:cs="Arial" w:ascii="Arial" w:hAnsi="Arial"/>
          <w:sz w:val="24"/>
          <w:szCs w:val="24"/>
        </w:rPr>
        <w:t>Audiometria tonal limiar ou audiometria condicionada por via aérea e via óssea;</w:t>
      </w:r>
    </w:p>
    <w:p>
      <w:pPr>
        <w:pStyle w:val="Normal"/>
        <w:numPr>
          <w:ilvl w:val="1"/>
          <w:numId w:val="16"/>
        </w:numPr>
        <w:spacing w:lineRule="auto" w:line="360" w:before="120" w:after="120"/>
        <w:ind w:left="1701" w:hanging="567"/>
        <w:jc w:val="both"/>
        <w:rPr>
          <w:rFonts w:ascii="Arial" w:hAnsi="Arial" w:cs="Arial"/>
          <w:sz w:val="24"/>
          <w:szCs w:val="24"/>
        </w:rPr>
      </w:pPr>
      <w:r>
        <w:rPr>
          <w:rFonts w:cs="Arial" w:ascii="Arial" w:hAnsi="Arial"/>
          <w:sz w:val="24"/>
          <w:szCs w:val="24"/>
        </w:rPr>
        <w:t>Logoaudiometria (LDV, LRF, IRF);</w:t>
      </w:r>
    </w:p>
    <w:p>
      <w:pPr>
        <w:pStyle w:val="Normal"/>
        <w:numPr>
          <w:ilvl w:val="1"/>
          <w:numId w:val="16"/>
        </w:numPr>
        <w:spacing w:lineRule="auto" w:line="360" w:before="120" w:after="120"/>
        <w:ind w:left="1701" w:hanging="567"/>
        <w:jc w:val="both"/>
        <w:rPr>
          <w:rFonts w:ascii="Arial" w:hAnsi="Arial" w:cs="Arial"/>
          <w:sz w:val="24"/>
          <w:szCs w:val="24"/>
        </w:rPr>
      </w:pPr>
      <w:r>
        <w:rPr>
          <w:rFonts w:cs="Arial" w:ascii="Arial" w:hAnsi="Arial"/>
          <w:sz w:val="24"/>
          <w:szCs w:val="24"/>
        </w:rPr>
        <w:t>Imitanciometria;</w:t>
      </w:r>
    </w:p>
    <w:p>
      <w:pPr>
        <w:pStyle w:val="Normal"/>
        <w:numPr>
          <w:ilvl w:val="1"/>
          <w:numId w:val="16"/>
        </w:numPr>
        <w:spacing w:lineRule="auto" w:line="360" w:before="120" w:after="120"/>
        <w:ind w:left="1701" w:hanging="567"/>
        <w:jc w:val="both"/>
        <w:rPr>
          <w:rFonts w:ascii="Arial" w:hAnsi="Arial" w:cs="Arial"/>
          <w:sz w:val="24"/>
          <w:szCs w:val="24"/>
        </w:rPr>
      </w:pPr>
      <w:r>
        <w:rPr>
          <w:rFonts w:cs="Arial" w:ascii="Arial" w:hAnsi="Arial"/>
          <w:sz w:val="24"/>
          <w:szCs w:val="24"/>
        </w:rPr>
        <w:t>Pesquisa do nível de desconforto para tom puro e fala.</w:t>
      </w:r>
    </w:p>
    <w:p>
      <w:pPr>
        <w:pStyle w:val="Normal"/>
        <w:numPr>
          <w:ilvl w:val="0"/>
          <w:numId w:val="16"/>
        </w:numPr>
        <w:spacing w:lineRule="auto" w:line="360" w:before="120" w:after="120"/>
        <w:ind w:left="1134" w:hanging="567"/>
        <w:jc w:val="both"/>
        <w:rPr>
          <w:rFonts w:ascii="Arial" w:hAnsi="Arial" w:cs="Arial"/>
          <w:sz w:val="24"/>
          <w:szCs w:val="24"/>
        </w:rPr>
      </w:pPr>
      <w:r>
        <w:rPr>
          <w:rFonts w:cs="Arial" w:ascii="Arial" w:hAnsi="Arial"/>
          <w:sz w:val="24"/>
          <w:szCs w:val="24"/>
        </w:rPr>
        <w:t>Avaliação da linguagem;</w:t>
      </w:r>
    </w:p>
    <w:p>
      <w:pPr>
        <w:pStyle w:val="Normal"/>
        <w:numPr>
          <w:ilvl w:val="0"/>
          <w:numId w:val="16"/>
        </w:numPr>
        <w:spacing w:lineRule="auto" w:line="360" w:before="120" w:after="120"/>
        <w:ind w:left="1134" w:hanging="567"/>
        <w:jc w:val="both"/>
        <w:rPr>
          <w:rFonts w:ascii="Arial" w:hAnsi="Arial" w:cs="Arial"/>
          <w:sz w:val="24"/>
          <w:szCs w:val="24"/>
        </w:rPr>
      </w:pPr>
      <w:r>
        <w:rPr>
          <w:rFonts w:cs="Arial" w:ascii="Arial" w:hAnsi="Arial"/>
          <w:sz w:val="24"/>
          <w:szCs w:val="24"/>
        </w:rPr>
        <w:t>Testes de percepção da fala;</w:t>
      </w:r>
    </w:p>
    <w:p>
      <w:pPr>
        <w:pStyle w:val="Normal"/>
        <w:numPr>
          <w:ilvl w:val="0"/>
          <w:numId w:val="16"/>
        </w:numPr>
        <w:spacing w:lineRule="auto" w:line="360" w:before="120" w:after="120"/>
        <w:ind w:left="1134" w:hanging="567"/>
        <w:jc w:val="both"/>
        <w:rPr>
          <w:rFonts w:ascii="Arial" w:hAnsi="Arial" w:cs="Arial"/>
          <w:b/>
          <w:b/>
          <w:sz w:val="24"/>
          <w:szCs w:val="24"/>
        </w:rPr>
      </w:pPr>
      <w:r>
        <w:rPr>
          <w:rFonts w:cs="Arial" w:ascii="Arial" w:hAnsi="Arial"/>
          <w:sz w:val="24"/>
          <w:szCs w:val="24"/>
        </w:rPr>
        <w:t>Questionários de avaliação do desempenho auditivo.</w:t>
      </w:r>
    </w:p>
    <w:p>
      <w:pPr>
        <w:pStyle w:val="Normal"/>
        <w:spacing w:lineRule="auto" w:line="360" w:before="120" w:after="120"/>
        <w:jc w:val="both"/>
        <w:rPr>
          <w:rFonts w:ascii="Arial" w:hAnsi="Arial" w:cs="Arial"/>
          <w:b/>
          <w:b/>
          <w:sz w:val="24"/>
          <w:szCs w:val="24"/>
        </w:rPr>
      </w:pPr>
      <w:r>
        <w:rPr>
          <w:rFonts w:cs="Arial" w:ascii="Arial" w:hAnsi="Arial"/>
          <w:b/>
          <w:sz w:val="24"/>
          <w:szCs w:val="24"/>
        </w:rPr>
      </w:r>
    </w:p>
    <w:p>
      <w:pPr>
        <w:pStyle w:val="Normal"/>
        <w:spacing w:lineRule="auto" w:line="360" w:before="120" w:after="120"/>
        <w:jc w:val="both"/>
        <w:rPr>
          <w:rFonts w:ascii="Arial" w:hAnsi="Arial" w:cs="Arial"/>
          <w:sz w:val="24"/>
          <w:szCs w:val="24"/>
        </w:rPr>
      </w:pPr>
      <w:r>
        <w:rPr>
          <w:rFonts w:cs="Arial" w:ascii="Arial" w:hAnsi="Arial"/>
          <w:b/>
          <w:sz w:val="24"/>
          <w:szCs w:val="24"/>
        </w:rPr>
        <w:t xml:space="preserve">Usuários acima de três anos de idade para o diagnóstico diferencial </w:t>
      </w:r>
    </w:p>
    <w:p>
      <w:pPr>
        <w:pStyle w:val="Normal"/>
        <w:spacing w:lineRule="auto" w:line="360" w:before="120" w:after="120"/>
        <w:jc w:val="both"/>
        <w:rPr>
          <w:rFonts w:ascii="Arial" w:hAnsi="Arial" w:cs="Arial"/>
          <w:sz w:val="24"/>
          <w:szCs w:val="24"/>
        </w:rPr>
      </w:pPr>
      <w:r>
        <w:rPr>
          <w:rFonts w:cs="Arial" w:ascii="Arial" w:hAnsi="Arial"/>
          <w:sz w:val="24"/>
          <w:szCs w:val="24"/>
        </w:rPr>
        <w:tab/>
        <w:t xml:space="preserve">Para o diagnóstico diferencial neste grupo populacional, devem-se acrescentar os seguintes exames: </w:t>
      </w:r>
    </w:p>
    <w:p>
      <w:pPr>
        <w:pStyle w:val="Normal"/>
        <w:numPr>
          <w:ilvl w:val="0"/>
          <w:numId w:val="17"/>
        </w:numPr>
        <w:spacing w:lineRule="auto" w:line="360" w:before="120" w:after="120"/>
        <w:ind w:left="1276" w:hanging="709"/>
        <w:jc w:val="both"/>
        <w:rPr>
          <w:rFonts w:ascii="Arial" w:hAnsi="Arial" w:cs="Arial"/>
          <w:sz w:val="24"/>
          <w:szCs w:val="24"/>
        </w:rPr>
      </w:pPr>
      <w:r>
        <w:rPr>
          <w:rFonts w:cs="Arial" w:ascii="Arial" w:hAnsi="Arial"/>
          <w:sz w:val="24"/>
          <w:szCs w:val="24"/>
        </w:rPr>
        <w:t>Emissões otoacústicas transiente e/ou produto de distorção;</w:t>
      </w:r>
    </w:p>
    <w:p>
      <w:pPr>
        <w:pStyle w:val="Normal"/>
        <w:numPr>
          <w:ilvl w:val="0"/>
          <w:numId w:val="17"/>
        </w:numPr>
        <w:spacing w:lineRule="auto" w:line="360" w:before="120" w:after="120"/>
        <w:ind w:left="1276" w:hanging="709"/>
        <w:jc w:val="both"/>
        <w:rPr/>
      </w:pPr>
      <w:r>
        <w:rPr>
          <w:rFonts w:cs="Arial" w:ascii="Arial" w:hAnsi="Arial"/>
          <w:sz w:val="24"/>
          <w:szCs w:val="24"/>
        </w:rPr>
        <w:t>Potencial Evocado Auditivo de Tronco Encefálico (PEATE) de curta, média e/ou longa latência.</w:t>
      </w:r>
    </w:p>
    <w:p>
      <w:pPr>
        <w:pStyle w:val="Normal"/>
        <w:spacing w:lineRule="auto" w:line="360" w:before="120" w:after="120"/>
        <w:jc w:val="both"/>
        <w:rPr/>
      </w:pPr>
      <w:r>
        <w:rPr/>
      </w:r>
    </w:p>
    <w:p>
      <w:pPr>
        <w:pStyle w:val="Ttulo3"/>
        <w:numPr>
          <w:ilvl w:val="2"/>
          <w:numId w:val="3"/>
        </w:numPr>
        <w:rPr>
          <w:rStyle w:val="Forte1"/>
        </w:rPr>
      </w:pPr>
      <w:bookmarkStart w:id="46" w:name="_Toc434344429"/>
      <w:bookmarkStart w:id="47" w:name="_Toc434148347"/>
      <w:bookmarkEnd w:id="46"/>
      <w:bookmarkEnd w:id="47"/>
      <w:r>
        <w:rPr>
          <w:rStyle w:val="Forte1"/>
        </w:rPr>
        <w:t>6.2.5 Critérios para Seleção e Adaptação de AASI</w:t>
      </w:r>
    </w:p>
    <w:p>
      <w:pPr>
        <w:pStyle w:val="Corpodetexto"/>
        <w:rPr/>
      </w:pPr>
      <w:r>
        <w:rPr/>
      </w:r>
    </w:p>
    <w:p>
      <w:pPr>
        <w:pStyle w:val="Normal"/>
        <w:spacing w:lineRule="auto" w:line="360" w:before="120" w:after="120"/>
        <w:ind w:firstLine="567"/>
        <w:jc w:val="both"/>
        <w:rPr>
          <w:rFonts w:ascii="Arial" w:hAnsi="Arial" w:cs="Arial"/>
          <w:sz w:val="24"/>
          <w:szCs w:val="24"/>
        </w:rPr>
      </w:pPr>
      <w:r>
        <w:rPr>
          <w:rFonts w:cs="Arial" w:ascii="Arial" w:hAnsi="Arial"/>
          <w:sz w:val="24"/>
          <w:szCs w:val="24"/>
        </w:rPr>
        <w:t>No processo de seleção e adaptação de AASI devem-se considerar os seguintes critérios para escolha desse:</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b/>
          <w:sz w:val="24"/>
          <w:szCs w:val="24"/>
        </w:rPr>
        <w:t>Tipo de Aparelho de Amplificação Sonora Individual (AASI)</w:t>
      </w:r>
    </w:p>
    <w:p>
      <w:pPr>
        <w:pStyle w:val="Normal"/>
        <w:spacing w:lineRule="auto" w:line="360" w:before="120" w:after="120"/>
        <w:ind w:firstLine="567"/>
        <w:jc w:val="both"/>
        <w:rPr>
          <w:rFonts w:ascii="Arial" w:hAnsi="Arial" w:cs="Arial"/>
          <w:b/>
          <w:b/>
          <w:bCs/>
          <w:sz w:val="24"/>
          <w:szCs w:val="24"/>
        </w:rPr>
      </w:pPr>
      <w:r>
        <w:rPr>
          <w:rFonts w:cs="Arial" w:ascii="Arial" w:hAnsi="Arial"/>
          <w:sz w:val="24"/>
          <w:szCs w:val="24"/>
        </w:rPr>
        <w:t>A seleção do tipo de AASI, bem como as características eletroacústicas e tecnológicas destes dispositivos deverá ser baseada nas necessidades individuais do usuário, considerando aspectos norteadores, como o tipo, o grau e a configuração da perda auditiva; e ainda, as necessidades não auditivas e de comunicação do indivíduo.</w:t>
      </w:r>
    </w:p>
    <w:p>
      <w:pPr>
        <w:pStyle w:val="Normal"/>
        <w:spacing w:lineRule="auto" w:line="360" w:before="120" w:after="120"/>
        <w:jc w:val="both"/>
        <w:rPr>
          <w:rFonts w:ascii="Arial" w:hAnsi="Arial" w:cs="Arial"/>
          <w:b/>
          <w:b/>
          <w:bCs/>
          <w:sz w:val="24"/>
          <w:szCs w:val="24"/>
        </w:rPr>
      </w:pPr>
      <w:r>
        <w:rPr>
          <w:rFonts w:cs="Arial" w:ascii="Arial" w:hAnsi="Arial"/>
          <w:b/>
          <w:bCs/>
          <w:sz w:val="24"/>
          <w:szCs w:val="24"/>
        </w:rPr>
        <w:t>Para crianças até três anos de idade</w:t>
      </w:r>
      <w:r>
        <w:rPr>
          <w:rFonts w:cs="Arial" w:ascii="Arial" w:hAnsi="Arial"/>
          <w:sz w:val="24"/>
          <w:szCs w:val="24"/>
        </w:rPr>
        <w:t>: o tipo de aparelho deve ser flexível, possibilitando ajustes finos adicionais, necessários na medida em que se obtenha uma caracterização mais acurada do status auditivo e da percepção de fala da criança.</w:t>
      </w:r>
    </w:p>
    <w:p>
      <w:pPr>
        <w:pStyle w:val="Normal"/>
        <w:spacing w:lineRule="auto" w:line="360" w:before="120" w:after="120"/>
        <w:jc w:val="both"/>
        <w:rPr>
          <w:rFonts w:ascii="Arial" w:hAnsi="Arial" w:cs="Arial"/>
          <w:sz w:val="24"/>
          <w:szCs w:val="24"/>
        </w:rPr>
      </w:pPr>
      <w:r>
        <w:rPr>
          <w:rFonts w:cs="Arial" w:ascii="Arial" w:hAnsi="Arial"/>
          <w:b/>
          <w:bCs/>
          <w:sz w:val="24"/>
          <w:szCs w:val="24"/>
        </w:rPr>
        <w:t>Para crianças até oito anos de idade</w:t>
      </w:r>
      <w:r>
        <w:rPr>
          <w:rFonts w:cs="Arial" w:ascii="Arial" w:hAnsi="Arial"/>
          <w:sz w:val="24"/>
          <w:szCs w:val="24"/>
        </w:rPr>
        <w:t>: indicação preferencialmente de aparelho auditivo retro auricular.</w:t>
      </w:r>
    </w:p>
    <w:p>
      <w:pPr>
        <w:pStyle w:val="Normal"/>
        <w:spacing w:lineRule="auto" w:line="360" w:before="120" w:after="120"/>
        <w:ind w:firstLine="567"/>
        <w:jc w:val="both"/>
        <w:rPr>
          <w:rFonts w:ascii="Arial" w:hAnsi="Arial" w:cs="Arial"/>
          <w:bCs/>
          <w:sz w:val="24"/>
          <w:szCs w:val="24"/>
        </w:rPr>
      </w:pPr>
      <w:r>
        <w:rPr>
          <w:rFonts w:cs="Arial" w:ascii="Arial" w:hAnsi="Arial"/>
          <w:sz w:val="24"/>
          <w:szCs w:val="24"/>
        </w:rPr>
        <w:t>Para crianças e adolescentes é obrigatório o uso de AASI que apresentem entrada direta de áudio.</w:t>
      </w:r>
    </w:p>
    <w:p>
      <w:pPr>
        <w:pStyle w:val="Normal"/>
        <w:spacing w:lineRule="auto" w:line="360" w:before="120" w:after="120"/>
        <w:jc w:val="both"/>
        <w:rPr>
          <w:rFonts w:ascii="Arial" w:hAnsi="Arial" w:cs="Arial"/>
          <w:bCs/>
          <w:sz w:val="24"/>
          <w:szCs w:val="24"/>
        </w:rPr>
      </w:pPr>
      <w:r>
        <w:rPr>
          <w:rFonts w:cs="Arial" w:ascii="Arial" w:hAnsi="Arial"/>
          <w:bCs/>
          <w:sz w:val="24"/>
          <w:szCs w:val="24"/>
        </w:rPr>
      </w:r>
    </w:p>
    <w:p>
      <w:pPr>
        <w:pStyle w:val="Normal"/>
        <w:spacing w:lineRule="auto" w:line="360" w:before="120" w:after="120"/>
        <w:jc w:val="both"/>
        <w:rPr>
          <w:rFonts w:ascii="Arial" w:hAnsi="Arial" w:cs="Arial"/>
          <w:sz w:val="24"/>
          <w:szCs w:val="24"/>
        </w:rPr>
      </w:pPr>
      <w:r>
        <w:rPr>
          <w:rFonts w:cs="Arial" w:ascii="Arial" w:hAnsi="Arial"/>
          <w:b/>
          <w:sz w:val="24"/>
          <w:szCs w:val="24"/>
        </w:rPr>
        <w:t xml:space="preserve">Adaptação via óssea </w:t>
      </w:r>
    </w:p>
    <w:p>
      <w:pPr>
        <w:pStyle w:val="Normal"/>
        <w:spacing w:lineRule="auto" w:line="360" w:before="120" w:after="120"/>
        <w:ind w:firstLine="709"/>
        <w:jc w:val="both"/>
        <w:rPr>
          <w:rFonts w:ascii="Arial" w:hAnsi="Arial" w:cs="Arial"/>
          <w:sz w:val="24"/>
          <w:szCs w:val="24"/>
        </w:rPr>
      </w:pPr>
      <w:r>
        <w:rPr>
          <w:rFonts w:cs="Arial" w:ascii="Arial" w:hAnsi="Arial"/>
          <w:sz w:val="24"/>
          <w:szCs w:val="24"/>
        </w:rPr>
        <w:t>A adaptação de AASI de condução óssea procede nos seguintes casos:</w:t>
      </w:r>
    </w:p>
    <w:p>
      <w:pPr>
        <w:pStyle w:val="Normal"/>
        <w:numPr>
          <w:ilvl w:val="0"/>
          <w:numId w:val="18"/>
        </w:numPr>
        <w:spacing w:lineRule="auto" w:line="360" w:before="120" w:after="120"/>
        <w:ind w:left="1134" w:hanging="567"/>
        <w:jc w:val="both"/>
        <w:rPr>
          <w:rFonts w:ascii="Arial" w:hAnsi="Arial" w:cs="Arial"/>
          <w:sz w:val="24"/>
          <w:szCs w:val="24"/>
        </w:rPr>
      </w:pPr>
      <w:r>
        <w:rPr>
          <w:rFonts w:cs="Arial" w:ascii="Arial" w:hAnsi="Arial"/>
          <w:sz w:val="24"/>
          <w:szCs w:val="24"/>
        </w:rPr>
        <w:t xml:space="preserve">Indivíduos cujas condições anatômicas e/ou fisiológicas da orelha externa e/ou orelha média impossibilitam a utilização de AASI de condução aérea. </w:t>
      </w:r>
    </w:p>
    <w:p>
      <w:pPr>
        <w:pStyle w:val="Normal"/>
        <w:numPr>
          <w:ilvl w:val="0"/>
          <w:numId w:val="18"/>
        </w:numPr>
        <w:spacing w:lineRule="auto" w:line="360" w:before="120" w:after="120"/>
        <w:ind w:left="1134" w:hanging="567"/>
        <w:jc w:val="both"/>
        <w:rPr>
          <w:rFonts w:ascii="Arial" w:hAnsi="Arial" w:cs="Arial"/>
          <w:sz w:val="24"/>
          <w:szCs w:val="24"/>
        </w:rPr>
      </w:pPr>
      <w:r>
        <w:rPr>
          <w:rFonts w:cs="Arial" w:ascii="Arial" w:hAnsi="Arial"/>
          <w:sz w:val="24"/>
          <w:szCs w:val="24"/>
        </w:rPr>
        <w:t>Indivíduos que apresentam perdas auditivas com presença de grande diferencial aéreo/ósseo, quando não for possível atingir a quantidade de ganho e saída prescritos via utilização de AASI de condução aérea.</w:t>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b/>
          <w:sz w:val="24"/>
          <w:szCs w:val="24"/>
        </w:rPr>
        <w:t xml:space="preserve">Adaptação unilateral x bilateral </w:t>
      </w:r>
    </w:p>
    <w:p>
      <w:pPr>
        <w:pStyle w:val="Normal"/>
        <w:spacing w:lineRule="auto" w:line="360" w:before="120" w:after="120"/>
        <w:ind w:firstLine="709"/>
        <w:jc w:val="both"/>
        <w:rPr>
          <w:rFonts w:ascii="Arial" w:hAnsi="Arial" w:cs="Arial"/>
          <w:sz w:val="24"/>
          <w:szCs w:val="24"/>
        </w:rPr>
      </w:pPr>
      <w:r>
        <w:rPr>
          <w:rFonts w:cs="Arial" w:ascii="Arial" w:hAnsi="Arial"/>
          <w:sz w:val="24"/>
          <w:szCs w:val="24"/>
        </w:rPr>
        <w:t>É preferencial a indicação bilateral. A adaptação de AASI unilateral procede nos seguintes casos:</w:t>
      </w:r>
    </w:p>
    <w:p>
      <w:pPr>
        <w:pStyle w:val="Normal"/>
        <w:numPr>
          <w:ilvl w:val="0"/>
          <w:numId w:val="19"/>
        </w:numPr>
        <w:spacing w:lineRule="auto" w:line="360" w:before="120" w:after="120"/>
        <w:ind w:left="1134" w:hanging="567"/>
        <w:jc w:val="both"/>
        <w:rPr>
          <w:rFonts w:ascii="Arial" w:hAnsi="Arial" w:cs="Arial"/>
          <w:sz w:val="24"/>
          <w:szCs w:val="24"/>
        </w:rPr>
      </w:pPr>
      <w:r>
        <w:rPr>
          <w:rFonts w:cs="Arial" w:ascii="Arial" w:hAnsi="Arial"/>
          <w:sz w:val="24"/>
          <w:szCs w:val="24"/>
        </w:rPr>
        <w:t>Adulto com perda auditiva assimétrica quando um dos lados é anacúsico;</w:t>
      </w:r>
    </w:p>
    <w:p>
      <w:pPr>
        <w:pStyle w:val="Normal"/>
        <w:numPr>
          <w:ilvl w:val="0"/>
          <w:numId w:val="19"/>
        </w:numPr>
        <w:spacing w:lineRule="auto" w:line="360" w:before="120" w:after="120"/>
        <w:ind w:left="1134" w:hanging="567"/>
        <w:jc w:val="both"/>
        <w:rPr>
          <w:rFonts w:ascii="Arial" w:hAnsi="Arial" w:cs="Arial"/>
          <w:sz w:val="24"/>
          <w:szCs w:val="24"/>
        </w:rPr>
      </w:pPr>
      <w:r>
        <w:rPr>
          <w:rFonts w:cs="Arial" w:ascii="Arial" w:hAnsi="Arial"/>
          <w:sz w:val="24"/>
          <w:szCs w:val="24"/>
        </w:rPr>
        <w:t>Perda auditiva bilateral, quando as condições anatômicas e/ou fisiológicas da orelha externa e/ou orelha média impossibilitarem a utilização de AASI de condução aérea bilateral e questões de conforto impossibilitar o uso de AASI de condução óssea;</w:t>
      </w:r>
    </w:p>
    <w:p>
      <w:pPr>
        <w:pStyle w:val="Normal"/>
        <w:numPr>
          <w:ilvl w:val="0"/>
          <w:numId w:val="19"/>
        </w:numPr>
        <w:spacing w:lineRule="auto" w:line="360" w:before="120" w:after="120"/>
        <w:ind w:left="1134" w:hanging="567"/>
        <w:jc w:val="both"/>
        <w:rPr>
          <w:rFonts w:ascii="Arial" w:hAnsi="Arial" w:cs="Arial"/>
          <w:sz w:val="24"/>
          <w:szCs w:val="24"/>
        </w:rPr>
      </w:pPr>
      <w:r>
        <w:rPr>
          <w:rFonts w:cs="Arial" w:ascii="Arial" w:hAnsi="Arial"/>
          <w:sz w:val="24"/>
          <w:szCs w:val="24"/>
        </w:rPr>
        <w:t>Opção do usuário após experiência bilateral.</w:t>
      </w:r>
    </w:p>
    <w:p>
      <w:pPr>
        <w:pStyle w:val="Normal"/>
        <w:spacing w:lineRule="auto" w:line="360"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jc w:val="both"/>
        <w:rPr>
          <w:rFonts w:ascii="Arial" w:hAnsi="Arial" w:cs="Arial"/>
          <w:sz w:val="24"/>
          <w:szCs w:val="24"/>
        </w:rPr>
      </w:pPr>
      <w:r>
        <w:rPr>
          <w:rFonts w:cs="Arial" w:ascii="Arial" w:hAnsi="Arial"/>
          <w:b/>
          <w:sz w:val="24"/>
          <w:szCs w:val="24"/>
        </w:rPr>
        <w:t xml:space="preserve">Molde auricular </w:t>
      </w:r>
    </w:p>
    <w:p>
      <w:pPr>
        <w:pStyle w:val="Normal"/>
        <w:spacing w:lineRule="auto" w:line="360" w:before="120" w:after="120"/>
        <w:ind w:firstLine="709"/>
        <w:jc w:val="both"/>
        <w:rPr>
          <w:rFonts w:ascii="Arial" w:hAnsi="Arial" w:cs="Arial"/>
          <w:sz w:val="24"/>
          <w:szCs w:val="24"/>
        </w:rPr>
      </w:pPr>
      <w:r>
        <w:rPr>
          <w:rFonts w:cs="Arial" w:ascii="Arial" w:hAnsi="Arial"/>
          <w:sz w:val="24"/>
          <w:szCs w:val="24"/>
        </w:rPr>
        <w:t>Os procedimentos para seleção do AASI devem ser realizados utilizando-se molde auricular adequado ao tipo de aparelho, necessidades acústicas e anatômicas do usuário.</w:t>
      </w:r>
    </w:p>
    <w:p>
      <w:pPr>
        <w:pStyle w:val="Normal"/>
        <w:spacing w:lineRule="auto" w:line="360" w:before="120" w:after="120"/>
        <w:jc w:val="both"/>
        <w:rPr>
          <w:rFonts w:ascii="Arial" w:hAnsi="Arial" w:cs="Arial"/>
          <w:sz w:val="24"/>
          <w:szCs w:val="24"/>
        </w:rPr>
      </w:pPr>
      <w:r>
        <w:rPr>
          <w:rFonts w:cs="Arial" w:ascii="Arial" w:hAnsi="Arial"/>
          <w:sz w:val="24"/>
          <w:szCs w:val="24"/>
        </w:rPr>
        <w:tab/>
        <w:t>O molde auricular deve ser confeccionado individualmente de acordo com a anatomia da orelha do usuário, salvo em caso de adaptações abertas com oliva.</w:t>
      </w:r>
    </w:p>
    <w:p>
      <w:pPr>
        <w:pStyle w:val="Normal"/>
        <w:spacing w:lineRule="auto" w:line="360" w:before="120" w:after="120"/>
        <w:ind w:firstLine="709"/>
        <w:jc w:val="both"/>
        <w:rPr>
          <w:rFonts w:ascii="Arial" w:hAnsi="Arial" w:cs="Arial"/>
          <w:sz w:val="24"/>
          <w:szCs w:val="24"/>
        </w:rPr>
      </w:pPr>
      <w:r>
        <w:rPr>
          <w:rFonts w:cs="Arial" w:ascii="Arial" w:hAnsi="Arial"/>
          <w:sz w:val="24"/>
          <w:szCs w:val="24"/>
        </w:rPr>
        <w:t>Em crianças de até 24 (vinte e quatro) meses, o molde poderá ser renovado trimestralmente e a partir desta idade com intervalos semestrais. Em adultos o molde poderá ser renovado uma vez por ano.</w:t>
      </w:r>
    </w:p>
    <w:p>
      <w:pPr>
        <w:pStyle w:val="Normal"/>
        <w:spacing w:lineRule="auto" w:line="360" w:before="120" w:after="120"/>
        <w:jc w:val="both"/>
        <w:rPr>
          <w:rFonts w:ascii="Arial" w:hAnsi="Arial" w:cs="Arial"/>
          <w:sz w:val="24"/>
          <w:szCs w:val="24"/>
        </w:rPr>
      </w:pPr>
      <w:r>
        <w:rPr>
          <w:rFonts w:cs="Arial" w:ascii="Arial" w:hAnsi="Arial"/>
          <w:sz w:val="24"/>
          <w:szCs w:val="24"/>
        </w:rPr>
        <w:t>Exceções em que a periodicidade da renovação do molde pode variar:</w:t>
      </w:r>
    </w:p>
    <w:p>
      <w:pPr>
        <w:pStyle w:val="Normal"/>
        <w:numPr>
          <w:ilvl w:val="0"/>
          <w:numId w:val="20"/>
        </w:numPr>
        <w:spacing w:lineRule="auto" w:line="360" w:before="120" w:after="120"/>
        <w:ind w:left="1134" w:hanging="567"/>
        <w:jc w:val="both"/>
        <w:rPr>
          <w:rFonts w:ascii="Arial" w:hAnsi="Arial" w:cs="Arial"/>
          <w:sz w:val="24"/>
          <w:szCs w:val="24"/>
        </w:rPr>
      </w:pPr>
      <w:r>
        <w:rPr>
          <w:rFonts w:cs="Arial" w:ascii="Arial" w:hAnsi="Arial"/>
          <w:sz w:val="24"/>
          <w:szCs w:val="24"/>
        </w:rPr>
        <w:t xml:space="preserve">Quando houver danificação do molde; </w:t>
      </w:r>
    </w:p>
    <w:p>
      <w:pPr>
        <w:pStyle w:val="Normal"/>
        <w:numPr>
          <w:ilvl w:val="0"/>
          <w:numId w:val="20"/>
        </w:numPr>
        <w:spacing w:lineRule="auto" w:line="360" w:before="120" w:after="120"/>
        <w:ind w:left="1134" w:hanging="567"/>
        <w:jc w:val="both"/>
        <w:rPr>
          <w:rFonts w:ascii="Arial" w:hAnsi="Arial" w:cs="Arial"/>
          <w:sz w:val="24"/>
          <w:szCs w:val="24"/>
        </w:rPr>
      </w:pPr>
      <w:r>
        <w:rPr>
          <w:rFonts w:cs="Arial" w:ascii="Arial" w:hAnsi="Arial"/>
          <w:sz w:val="24"/>
          <w:szCs w:val="24"/>
        </w:rPr>
        <w:t xml:space="preserve">Casos de doenças crônicas de orelha média ou externa; </w:t>
      </w:r>
    </w:p>
    <w:p>
      <w:pPr>
        <w:pStyle w:val="Normal"/>
        <w:numPr>
          <w:ilvl w:val="0"/>
          <w:numId w:val="20"/>
        </w:numPr>
        <w:spacing w:lineRule="auto" w:line="360" w:before="120" w:after="120"/>
        <w:ind w:left="1134" w:hanging="567"/>
        <w:jc w:val="both"/>
        <w:rPr>
          <w:rFonts w:ascii="Arial" w:hAnsi="Arial" w:cs="Arial"/>
          <w:b/>
          <w:b/>
          <w:bCs/>
          <w:sz w:val="24"/>
          <w:szCs w:val="24"/>
        </w:rPr>
      </w:pPr>
      <w:r>
        <w:rPr>
          <w:rFonts w:cs="Arial" w:ascii="Arial" w:hAnsi="Arial"/>
          <w:sz w:val="24"/>
          <w:szCs w:val="24"/>
        </w:rPr>
        <w:t>Necessidade de modificações acústicas do AASI que demandem a confecção de outro molde.</w:t>
      </w:r>
    </w:p>
    <w:p>
      <w:pPr>
        <w:pStyle w:val="Normal"/>
        <w:spacing w:lineRule="auto" w:line="360" w:before="120" w:after="120"/>
        <w:jc w:val="both"/>
        <w:rPr>
          <w:rFonts w:ascii="Arial" w:hAnsi="Arial" w:cs="Arial"/>
          <w:b/>
          <w:b/>
          <w:bCs/>
          <w:sz w:val="24"/>
          <w:szCs w:val="24"/>
        </w:rPr>
      </w:pPr>
      <w:r>
        <w:rPr>
          <w:rFonts w:cs="Arial" w:ascii="Arial" w:hAnsi="Arial"/>
          <w:b/>
          <w:bCs/>
          <w:sz w:val="24"/>
          <w:szCs w:val="24"/>
        </w:rPr>
      </w:r>
    </w:p>
    <w:p>
      <w:pPr>
        <w:pStyle w:val="Normal"/>
        <w:spacing w:lineRule="auto" w:line="360" w:before="120" w:after="120"/>
        <w:jc w:val="both"/>
        <w:rPr>
          <w:rFonts w:ascii="Arial" w:hAnsi="Arial" w:cs="Arial"/>
          <w:sz w:val="24"/>
          <w:szCs w:val="24"/>
          <w:highlight w:val="white"/>
        </w:rPr>
      </w:pPr>
      <w:r>
        <w:rPr>
          <w:rFonts w:cs="Arial" w:ascii="Arial" w:hAnsi="Arial"/>
          <w:b/>
          <w:bCs/>
          <w:sz w:val="24"/>
          <w:szCs w:val="24"/>
          <w:shd w:fill="FFFFFF" w:val="clear"/>
        </w:rPr>
        <w:t>Seleção das características eletroacústicas</w:t>
      </w:r>
    </w:p>
    <w:p>
      <w:pPr>
        <w:pStyle w:val="Normal"/>
        <w:spacing w:lineRule="auto" w:line="360" w:before="120" w:after="120"/>
        <w:jc w:val="both"/>
        <w:rPr>
          <w:rFonts w:ascii="Arial" w:hAnsi="Arial" w:cs="Arial"/>
          <w:sz w:val="24"/>
          <w:szCs w:val="24"/>
          <w:shd w:fill="FFFFFF" w:val="clear"/>
        </w:rPr>
      </w:pPr>
      <w:r>
        <w:rPr>
          <w:rFonts w:cs="Arial" w:ascii="Arial" w:hAnsi="Arial"/>
          <w:sz w:val="24"/>
          <w:szCs w:val="24"/>
          <w:shd w:fill="FFFFFF" w:val="clear"/>
        </w:rPr>
      </w:r>
    </w:p>
    <w:p>
      <w:pPr>
        <w:pStyle w:val="PargrafodaLista1"/>
        <w:spacing w:lineRule="auto" w:line="360" w:before="120" w:after="120"/>
        <w:ind w:left="0" w:hanging="0"/>
        <w:jc w:val="both"/>
        <w:rPr>
          <w:rFonts w:ascii="Arial" w:hAnsi="Arial" w:cs="Arial"/>
          <w:sz w:val="24"/>
          <w:szCs w:val="24"/>
        </w:rPr>
      </w:pPr>
      <w:r>
        <w:rPr>
          <w:rFonts w:cs="Arial" w:ascii="Arial" w:hAnsi="Arial"/>
          <w:sz w:val="24"/>
          <w:szCs w:val="24"/>
          <w:shd w:fill="FFFFFF" w:val="clear"/>
        </w:rPr>
        <w:t>Devem ser registradas no prontuário do usuário as seguintes informações:</w:t>
      </w:r>
    </w:p>
    <w:p>
      <w:pPr>
        <w:pStyle w:val="PargrafodaLista1"/>
        <w:numPr>
          <w:ilvl w:val="0"/>
          <w:numId w:val="21"/>
        </w:numPr>
        <w:spacing w:lineRule="auto" w:line="360" w:before="120" w:after="120"/>
        <w:ind w:left="1134" w:hanging="567"/>
        <w:jc w:val="both"/>
        <w:rPr>
          <w:rFonts w:ascii="Arial" w:hAnsi="Arial" w:cs="Arial"/>
          <w:sz w:val="24"/>
          <w:szCs w:val="24"/>
        </w:rPr>
      </w:pPr>
      <w:r>
        <w:rPr>
          <w:rFonts w:cs="Arial" w:ascii="Arial" w:hAnsi="Arial"/>
          <w:sz w:val="24"/>
          <w:szCs w:val="24"/>
        </w:rPr>
        <w:t xml:space="preserve">Os valores do ganho, resposta de frequência e saída máxima, prescritos a partir dos limiares auditivos e/ou medidas supraliminares; </w:t>
      </w:r>
    </w:p>
    <w:p>
      <w:pPr>
        <w:pStyle w:val="PargrafodaLista1"/>
        <w:numPr>
          <w:ilvl w:val="0"/>
          <w:numId w:val="21"/>
        </w:numPr>
        <w:spacing w:lineRule="auto" w:line="360" w:before="120" w:after="120"/>
        <w:ind w:left="1134" w:hanging="567"/>
        <w:jc w:val="both"/>
        <w:rPr>
          <w:rFonts w:ascii="Arial" w:hAnsi="Arial" w:cs="Arial"/>
          <w:sz w:val="24"/>
          <w:szCs w:val="24"/>
        </w:rPr>
      </w:pPr>
      <w:r>
        <w:rPr>
          <w:rFonts w:cs="Arial" w:ascii="Arial" w:hAnsi="Arial"/>
          <w:sz w:val="24"/>
          <w:szCs w:val="24"/>
        </w:rPr>
        <w:t xml:space="preserve">A regra prescritiva utilizada e valores da prescrição de ganho por frequência e saída máxima, devem ser determinadas a partir dos limiares auditivos e/ou medidas supraliminares para estes cálculos; </w:t>
      </w:r>
    </w:p>
    <w:p>
      <w:pPr>
        <w:pStyle w:val="PargrafodaLista1"/>
        <w:numPr>
          <w:ilvl w:val="0"/>
          <w:numId w:val="21"/>
        </w:numPr>
        <w:spacing w:lineRule="auto" w:line="360" w:before="120" w:after="120"/>
        <w:ind w:left="1134" w:hanging="567"/>
        <w:jc w:val="both"/>
        <w:rPr>
          <w:rFonts w:ascii="Arial" w:hAnsi="Arial" w:cs="Arial"/>
          <w:sz w:val="24"/>
          <w:szCs w:val="24"/>
        </w:rPr>
      </w:pPr>
      <w:r>
        <w:rPr>
          <w:rFonts w:cs="Arial" w:ascii="Arial" w:hAnsi="Arial"/>
          <w:sz w:val="24"/>
          <w:szCs w:val="24"/>
        </w:rPr>
        <w:t>As características dos circuitos especiais, as entradas alternativas, a necessidade de adaptação de AASI por condução óssea.</w:t>
      </w:r>
    </w:p>
    <w:p>
      <w:pPr>
        <w:pStyle w:val="PargrafodaLista1"/>
        <w:numPr>
          <w:ilvl w:val="0"/>
          <w:numId w:val="21"/>
        </w:numPr>
        <w:spacing w:lineRule="auto" w:line="360" w:before="120" w:after="120"/>
        <w:ind w:left="1134" w:hanging="567"/>
        <w:jc w:val="both"/>
        <w:rPr>
          <w:rFonts w:ascii="Arial" w:hAnsi="Arial" w:cs="Arial"/>
          <w:sz w:val="24"/>
          <w:szCs w:val="24"/>
        </w:rPr>
      </w:pPr>
      <w:r>
        <w:rPr>
          <w:rFonts w:cs="Arial" w:ascii="Arial" w:hAnsi="Arial"/>
          <w:sz w:val="24"/>
          <w:szCs w:val="24"/>
        </w:rPr>
        <w:t xml:space="preserve">Na seleção de ganho e saída máxima para bebês e crianças até três anos devem, necessariamente, ser utilizados métodos prescritivos que considerem a medida da diferença entre o acoplador de 2,0 ml e a orelha real (RECD - </w:t>
      </w:r>
      <w:r>
        <w:rPr>
          <w:rFonts w:cs="Arial" w:ascii="Arial" w:hAnsi="Arial"/>
          <w:i/>
          <w:iCs/>
          <w:sz w:val="24"/>
          <w:szCs w:val="24"/>
        </w:rPr>
        <w:t>Real Ear to Coupler Difference</w:t>
      </w:r>
      <w:r>
        <w:rPr>
          <w:rFonts w:cs="Arial" w:ascii="Arial" w:hAnsi="Arial"/>
          <w:sz w:val="24"/>
          <w:szCs w:val="24"/>
        </w:rPr>
        <w:t xml:space="preserve">). </w:t>
      </w:r>
    </w:p>
    <w:p>
      <w:pPr>
        <w:pStyle w:val="PargrafodaLista1"/>
        <w:numPr>
          <w:ilvl w:val="0"/>
          <w:numId w:val="22"/>
        </w:numPr>
        <w:spacing w:lineRule="auto" w:line="360" w:before="120" w:after="120"/>
        <w:ind w:left="1134" w:hanging="567"/>
        <w:jc w:val="both"/>
        <w:rPr>
          <w:rFonts w:ascii="Arial" w:hAnsi="Arial" w:cs="Arial"/>
          <w:sz w:val="24"/>
          <w:szCs w:val="24"/>
        </w:rPr>
      </w:pPr>
      <w:r>
        <w:rPr>
          <w:rFonts w:cs="Arial" w:ascii="Arial" w:hAnsi="Arial"/>
          <w:sz w:val="24"/>
          <w:szCs w:val="24"/>
        </w:rPr>
        <w:t xml:space="preserve">Os aparelhos selecionados devem estar devidamente registrados pelos fabricantes e distribuidores junto a ANVISA. </w:t>
      </w:r>
    </w:p>
    <w:p>
      <w:pPr>
        <w:pStyle w:val="PargrafodaLista1"/>
        <w:numPr>
          <w:ilvl w:val="0"/>
          <w:numId w:val="22"/>
        </w:numPr>
        <w:spacing w:lineRule="auto" w:line="360" w:before="120" w:after="120"/>
        <w:ind w:left="1134" w:hanging="567"/>
        <w:jc w:val="both"/>
        <w:rPr>
          <w:rFonts w:ascii="Arial" w:hAnsi="Arial" w:cs="Arial"/>
          <w:sz w:val="24"/>
          <w:szCs w:val="24"/>
        </w:rPr>
      </w:pPr>
      <w:r>
        <w:rPr>
          <w:rFonts w:cs="Arial" w:ascii="Arial" w:hAnsi="Arial"/>
          <w:sz w:val="24"/>
          <w:szCs w:val="24"/>
        </w:rPr>
        <w:t xml:space="preserve">Os aparelhos selecionados devem estar classificados segundo os tipos com as características mínimas e recursos eletroacústicos, conforme apresentado abaixo: </w:t>
      </w:r>
    </w:p>
    <w:p>
      <w:pPr>
        <w:pStyle w:val="PargrafodaLista1"/>
        <w:spacing w:lineRule="auto" w:line="360" w:before="120" w:after="120"/>
        <w:ind w:left="0" w:hanging="0"/>
        <w:jc w:val="both"/>
        <w:rPr>
          <w:rFonts w:ascii="Arial" w:hAnsi="Arial" w:cs="Arial"/>
          <w:sz w:val="24"/>
          <w:szCs w:val="24"/>
        </w:rPr>
      </w:pPr>
      <w:r>
        <w:rPr>
          <w:rFonts w:cs="Arial" w:ascii="Arial" w:hAnsi="Arial"/>
          <w:sz w:val="24"/>
          <w:szCs w:val="24"/>
        </w:rPr>
      </w:r>
    </w:p>
    <w:p>
      <w:pPr>
        <w:pStyle w:val="PargrafodaLista1"/>
        <w:spacing w:lineRule="auto" w:line="360" w:before="120" w:after="120"/>
        <w:ind w:left="0" w:hanging="0"/>
        <w:jc w:val="center"/>
        <w:rPr>
          <w:rFonts w:ascii="Arial" w:hAnsi="Arial" w:cs="Arial"/>
          <w:b/>
          <w:b/>
          <w:szCs w:val="20"/>
        </w:rPr>
      </w:pPr>
      <w:r>
        <w:rPr>
          <w:rFonts w:cs="Arial" w:ascii="Arial" w:hAnsi="Arial"/>
          <w:szCs w:val="20"/>
        </w:rPr>
        <w:t>Quadro 3 - Características mínimas e recursos eletroacústicos dos AASI.</w:t>
      </w:r>
    </w:p>
    <w:tbl>
      <w:tblPr>
        <w:tblW w:w="8744" w:type="dxa"/>
        <w:jc w:val="left"/>
        <w:tblInd w:w="-120" w:type="dxa"/>
        <w:tblBorders/>
        <w:tblCellMar>
          <w:top w:w="0" w:type="dxa"/>
          <w:left w:w="0" w:type="dxa"/>
          <w:bottom w:w="0" w:type="dxa"/>
          <w:right w:w="0" w:type="dxa"/>
        </w:tblCellMar>
        <w:tblLook w:firstRow="0" w:noVBand="0" w:lastRow="0" w:firstColumn="0" w:lastColumn="0" w:noHBand="0" w:val="0000"/>
      </w:tblPr>
      <w:tblGrid>
        <w:gridCol w:w="2880"/>
        <w:gridCol w:w="2880"/>
        <w:gridCol w:w="2879"/>
        <w:gridCol w:w="42"/>
        <w:gridCol w:w="63"/>
      </w:tblGrid>
      <w:tr>
        <w:trPr>
          <w:trHeight w:val="315" w:hRule="atLeast"/>
        </w:trPr>
        <w:tc>
          <w:tcPr>
            <w:tcW w:w="8639" w:type="dxa"/>
            <w:gridSpan w:val="3"/>
            <w:tcBorders/>
            <w:shd w:color="auto" w:fill="auto" w:val="clear"/>
          </w:tcPr>
          <w:p>
            <w:pPr>
              <w:pStyle w:val="PargrafodaLista1"/>
              <w:spacing w:lineRule="auto" w:line="360" w:before="120" w:after="120"/>
              <w:ind w:left="720" w:hanging="0"/>
              <w:jc w:val="both"/>
              <w:rPr>
                <w:rFonts w:ascii="Arial" w:hAnsi="Arial" w:cs="Arial"/>
              </w:rPr>
            </w:pPr>
            <w:r>
              <w:rPr>
                <w:rFonts w:cs="Arial" w:ascii="Arial" w:hAnsi="Arial"/>
                <w:b/>
                <w:szCs w:val="20"/>
              </w:rPr>
              <w:t>Características Mínimas e Recursos Eletroacústicos</w:t>
            </w:r>
          </w:p>
        </w:tc>
        <w:tc>
          <w:tcPr>
            <w:tcW w:w="42" w:type="dxa"/>
            <w:tcBorders/>
            <w:shd w:color="auto" w:fill="auto" w:val="clear"/>
          </w:tcPr>
          <w:p>
            <w:pPr>
              <w:pStyle w:val="Normal"/>
              <w:snapToGrid w:val="false"/>
              <w:rPr>
                <w:rFonts w:ascii="Arial" w:hAnsi="Arial" w:cs="Arial"/>
              </w:rPr>
            </w:pPr>
            <w:r>
              <w:rPr>
                <w:rFonts w:cs="Arial" w:ascii="Arial" w:hAnsi="Arial"/>
              </w:rPr>
            </w:r>
          </w:p>
        </w:tc>
        <w:tc>
          <w:tcPr>
            <w:tcW w:w="63" w:type="dxa"/>
            <w:tcBorders/>
            <w:shd w:color="auto" w:fill="auto" w:val="clear"/>
          </w:tcPr>
          <w:p>
            <w:pPr>
              <w:pStyle w:val="Normal"/>
              <w:snapToGrid w:val="false"/>
              <w:rPr/>
            </w:pPr>
            <w:r>
              <w:rPr/>
            </w:r>
          </w:p>
        </w:tc>
      </w:tr>
      <w:tr>
        <w:trPr>
          <w:trHeight w:val="315" w:hRule="atLeast"/>
        </w:trPr>
        <w:tc>
          <w:tcPr>
            <w:tcW w:w="2880" w:type="dxa"/>
            <w:tcBorders>
              <w:top w:val="single" w:sz="4" w:space="0" w:color="000001"/>
              <w:left w:val="single" w:sz="4" w:space="0" w:color="000001"/>
              <w:bottom w:val="single" w:sz="4" w:space="0" w:color="000001"/>
              <w:insideH w:val="single" w:sz="4" w:space="0" w:color="000001"/>
            </w:tcBorders>
            <w:shd w:color="auto" w:fill="BFBFBF" w:val="clear"/>
            <w:tcMar>
              <w:left w:w="-5" w:type="dxa"/>
            </w:tcMar>
          </w:tcPr>
          <w:p>
            <w:pPr>
              <w:pStyle w:val="Normal"/>
              <w:widowControl/>
              <w:suppressAutoHyphens w:val="false"/>
              <w:overflowPunct w:val="false"/>
              <w:spacing w:lineRule="auto" w:line="360"/>
              <w:jc w:val="both"/>
              <w:textAlignment w:val="auto"/>
              <w:rPr>
                <w:rFonts w:ascii="Arial" w:hAnsi="Arial" w:cs="Arial"/>
                <w:b/>
                <w:b/>
                <w:bCs/>
              </w:rPr>
            </w:pPr>
            <w:r>
              <w:rPr>
                <w:rFonts w:cs="Arial" w:ascii="Arial" w:hAnsi="Arial"/>
                <w:b/>
                <w:bCs/>
              </w:rPr>
              <w:t>Tipo A</w:t>
            </w:r>
          </w:p>
        </w:tc>
        <w:tc>
          <w:tcPr>
            <w:tcW w:w="2880" w:type="dxa"/>
            <w:tcBorders>
              <w:top w:val="single" w:sz="4" w:space="0" w:color="000001"/>
              <w:left w:val="single" w:sz="4" w:space="0" w:color="000001"/>
              <w:bottom w:val="single" w:sz="4" w:space="0" w:color="000001"/>
              <w:insideH w:val="single" w:sz="4" w:space="0" w:color="000001"/>
            </w:tcBorders>
            <w:shd w:color="auto" w:fill="BFBFBF" w:val="clear"/>
            <w:tcMar>
              <w:left w:w="-5" w:type="dxa"/>
            </w:tcMar>
          </w:tcPr>
          <w:p>
            <w:pPr>
              <w:pStyle w:val="Normal"/>
              <w:widowControl/>
              <w:suppressAutoHyphens w:val="false"/>
              <w:overflowPunct w:val="false"/>
              <w:spacing w:lineRule="auto" w:line="360"/>
              <w:jc w:val="both"/>
              <w:textAlignment w:val="auto"/>
              <w:rPr>
                <w:rFonts w:ascii="Arial" w:hAnsi="Arial" w:cs="Arial"/>
                <w:b/>
                <w:b/>
                <w:bCs/>
              </w:rPr>
            </w:pPr>
            <w:r>
              <w:rPr>
                <w:rFonts w:cs="Arial" w:ascii="Arial" w:hAnsi="Arial"/>
                <w:b/>
                <w:bCs/>
              </w:rPr>
              <w:t>Tipo B</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BFBFBF" w:val="clear"/>
            <w:tcMar>
              <w:left w:w="-5" w:type="dxa"/>
            </w:tcMar>
          </w:tcPr>
          <w:p>
            <w:pPr>
              <w:pStyle w:val="Normal"/>
              <w:widowControl/>
              <w:suppressAutoHyphens w:val="false"/>
              <w:overflowPunct w:val="false"/>
              <w:spacing w:lineRule="auto" w:line="360"/>
              <w:jc w:val="both"/>
              <w:textAlignment w:val="auto"/>
              <w:rPr/>
            </w:pPr>
            <w:r>
              <w:rPr>
                <w:rFonts w:cs="Arial" w:ascii="Arial" w:hAnsi="Arial"/>
                <w:b/>
                <w:bCs/>
              </w:rPr>
              <w:t>Tipo C</w:t>
            </w:r>
          </w:p>
        </w:tc>
      </w:tr>
      <w:tr>
        <w:trPr>
          <w:trHeight w:val="3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Digital</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Digital programável</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Digital programável</w:t>
            </w:r>
          </w:p>
        </w:tc>
      </w:tr>
      <w:tr>
        <w:trPr>
          <w:trHeight w:val="3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Dois canais*</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Três canais*</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Cinco canais*</w:t>
            </w:r>
          </w:p>
        </w:tc>
      </w:tr>
      <w:tr>
        <w:trPr>
          <w:trHeight w:val="6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Controle de volume manual ou automático</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Controle de volume manual ou automático</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Controle de volume manual ou automático</w:t>
            </w:r>
          </w:p>
        </w:tc>
      </w:tr>
      <w:tr>
        <w:trPr>
          <w:trHeight w:val="3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Compressão não linear</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Compressão não linear</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Compressão não linear</w:t>
            </w:r>
          </w:p>
        </w:tc>
      </w:tr>
      <w:tr>
        <w:trPr>
          <w:trHeight w:val="9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Entrada de áudio nos retroauriculares convencionais</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Entrada de áudio nos retroauriculares convencionais</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Entrada de áudio nos retroauriculares convencionais</w:t>
            </w:r>
          </w:p>
        </w:tc>
      </w:tr>
      <w:tr>
        <w:trPr>
          <w:trHeight w:val="9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Gerenciador de microfonia ativo sem redução de ganho</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Gerenciador de microfonia ativo sem redução de ganho</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Gerenciador de microfonia ativo sem redução de ganho</w:t>
            </w:r>
          </w:p>
        </w:tc>
      </w:tr>
      <w:tr>
        <w:trPr>
          <w:trHeight w:val="6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Bobina telefônica**</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Bobina telefônica manual ou automática**</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Bobina telefônica manual ou automática**</w:t>
            </w:r>
          </w:p>
        </w:tc>
      </w:tr>
      <w:tr>
        <w:trPr>
          <w:trHeight w:val="6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Microfone omni ou direcional</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Microfone omni e direcional fixo</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Microfone omni e direcional adaptativo</w:t>
            </w:r>
          </w:p>
        </w:tc>
      </w:tr>
      <w:tr>
        <w:trPr>
          <w:trHeight w:val="6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Dois programas de áudio (manual ou automático)</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Três programas de áudio (manual ou automático)</w:t>
            </w:r>
          </w:p>
        </w:tc>
      </w:tr>
      <w:tr>
        <w:trPr>
          <w:trHeight w:val="3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Redução de ruído</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Redução de ruído</w:t>
            </w:r>
          </w:p>
        </w:tc>
      </w:tr>
      <w:tr>
        <w:trPr>
          <w:trHeight w:val="6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Registro de dados de uso</w:t>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Registro de dados de uso</w:t>
            </w:r>
          </w:p>
        </w:tc>
      </w:tr>
      <w:tr>
        <w:trPr>
          <w:trHeight w:val="630" w:hRule="atLeast"/>
        </w:trPr>
        <w:tc>
          <w:tcPr>
            <w:tcW w:w="2880" w:type="dxa"/>
            <w:tcBorders>
              <w:top w:val="single" w:sz="4" w:space="0" w:color="000001"/>
              <w:left w:val="single" w:sz="4" w:space="0" w:color="000001"/>
              <w:bottom w:val="single" w:sz="4" w:space="0" w:color="000001"/>
              <w:insideH w:val="single" w:sz="4" w:space="0" w:color="000001"/>
            </w:tcBorders>
            <w:shd w:color="auto" w:fill="BFBFBF" w:val="clear"/>
            <w:tcMar>
              <w:left w:w="-5" w:type="dxa"/>
            </w:tcMar>
          </w:tcPr>
          <w:p>
            <w:pPr>
              <w:pStyle w:val="Normal"/>
              <w:widowControl/>
              <w:suppressAutoHyphens w:val="false"/>
              <w:overflowPunct w:val="false"/>
              <w:spacing w:lineRule="auto" w:line="360"/>
              <w:jc w:val="both"/>
              <w:textAlignment w:val="auto"/>
              <w:rPr>
                <w:rFonts w:ascii="Arial" w:hAnsi="Arial" w:cs="Arial"/>
                <w:b/>
                <w:b/>
                <w:bCs/>
              </w:rPr>
            </w:pPr>
            <w:r>
              <w:rPr>
                <w:rFonts w:cs="Arial" w:ascii="Arial" w:hAnsi="Arial"/>
                <w:b/>
                <w:bCs/>
              </w:rPr>
              <w:t>Sistema de adaptação por via óssea</w:t>
            </w:r>
          </w:p>
        </w:tc>
        <w:tc>
          <w:tcPr>
            <w:tcW w:w="2880" w:type="dxa"/>
            <w:tcBorders>
              <w:top w:val="single" w:sz="4" w:space="0" w:color="000001"/>
              <w:left w:val="single" w:sz="4" w:space="0" w:color="000001"/>
              <w:bottom w:val="single" w:sz="4" w:space="0" w:color="000001"/>
              <w:insideH w:val="single" w:sz="4" w:space="0" w:color="000001"/>
            </w:tcBorders>
            <w:shd w:color="auto" w:fill="BFBFBF"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b/>
                <w:b/>
                <w:bCs/>
              </w:rPr>
            </w:pPr>
            <w:r>
              <w:rPr>
                <w:rFonts w:cs="Arial" w:ascii="Arial" w:hAnsi="Arial"/>
                <w:b/>
                <w:bCs/>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BFBFBF" w:val="clear"/>
            <w:tcMar>
              <w:left w:w="-5" w:type="dxa"/>
            </w:tcMar>
          </w:tcPr>
          <w:p>
            <w:pPr>
              <w:pStyle w:val="Normal"/>
              <w:widowControl/>
              <w:suppressAutoHyphens w:val="false"/>
              <w:overflowPunct w:val="false"/>
              <w:spacing w:lineRule="auto" w:line="360"/>
              <w:jc w:val="both"/>
              <w:textAlignment w:val="auto"/>
              <w:rPr/>
            </w:pPr>
            <w:r>
              <w:rPr>
                <w:rFonts w:cs="Arial" w:ascii="Arial" w:hAnsi="Arial"/>
                <w:b/>
                <w:bCs/>
              </w:rPr>
              <w:t>Sistema de adaptação CROS</w:t>
            </w:r>
          </w:p>
        </w:tc>
      </w:tr>
      <w:tr>
        <w:trPr>
          <w:trHeight w:val="3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Digital</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Digital programável</w:t>
            </w:r>
          </w:p>
        </w:tc>
      </w:tr>
      <w:tr>
        <w:trPr>
          <w:trHeight w:val="3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Um canal</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Dois canais</w:t>
            </w:r>
          </w:p>
        </w:tc>
      </w:tr>
      <w:tr>
        <w:trPr>
          <w:trHeight w:val="6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Controle de volume manual ou automático</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Controle de volume manual ou automático</w:t>
            </w:r>
          </w:p>
        </w:tc>
      </w:tr>
      <w:tr>
        <w:trPr>
          <w:trHeight w:val="3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Compressão</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Compressão</w:t>
            </w:r>
          </w:p>
        </w:tc>
      </w:tr>
      <w:tr>
        <w:trPr>
          <w:trHeight w:val="6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Entrada de áudio (q. do BTE convencional)</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Entrada de áudio (q. do BTE convencional)</w:t>
            </w:r>
          </w:p>
        </w:tc>
      </w:tr>
      <w:tr>
        <w:trPr>
          <w:trHeight w:val="9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Sistema de sustentação (arco ajustável ou banda elástica)</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Conectividade sem fio</w:t>
            </w:r>
          </w:p>
        </w:tc>
      </w:tr>
      <w:tr>
        <w:trPr>
          <w:trHeight w:val="3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rFonts w:ascii="Arial" w:hAnsi="Arial" w:cs="Arial"/>
              </w:rPr>
            </w:pPr>
            <w:r>
              <w:rPr>
                <w:rFonts w:cs="Arial" w:ascii="Arial" w:hAnsi="Arial"/>
              </w:rPr>
              <w:t>Vibrador ósseo</w:t>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Adaptador CROS</w:t>
            </w:r>
          </w:p>
        </w:tc>
      </w:tr>
      <w:tr>
        <w:trPr>
          <w:trHeight w:val="3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Fio simples três pinos</w:t>
            </w:r>
          </w:p>
        </w:tc>
      </w:tr>
      <w:tr>
        <w:trPr>
          <w:trHeight w:val="630" w:hRule="atLeast"/>
        </w:trPr>
        <w:tc>
          <w:tcPr>
            <w:tcW w:w="2880" w:type="dxa"/>
            <w:tcBorders>
              <w:top w:val="single" w:sz="4" w:space="0" w:color="000001"/>
              <w:left w:val="single" w:sz="4" w:space="0" w:color="000001"/>
              <w:bottom w:val="single" w:sz="4" w:space="0" w:color="000001"/>
              <w:insideH w:val="single" w:sz="4" w:space="0" w:color="000001"/>
            </w:tcBorders>
            <w:shd w:color="auto" w:fill="BFBFBF"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880" w:type="dxa"/>
            <w:tcBorders>
              <w:top w:val="single" w:sz="4" w:space="0" w:color="000001"/>
              <w:left w:val="single" w:sz="4" w:space="0" w:color="000001"/>
              <w:bottom w:val="single" w:sz="4" w:space="0" w:color="000001"/>
              <w:insideH w:val="single" w:sz="4" w:space="0" w:color="000001"/>
            </w:tcBorders>
            <w:shd w:color="auto" w:fill="BFBFBF"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BFBFBF" w:val="clear"/>
            <w:tcMar>
              <w:left w:w="-5" w:type="dxa"/>
            </w:tcMar>
          </w:tcPr>
          <w:p>
            <w:pPr>
              <w:pStyle w:val="Normal"/>
              <w:widowControl/>
              <w:suppressAutoHyphens w:val="false"/>
              <w:overflowPunct w:val="false"/>
              <w:spacing w:lineRule="auto" w:line="360"/>
              <w:jc w:val="both"/>
              <w:textAlignment w:val="auto"/>
              <w:rPr/>
            </w:pPr>
            <w:r>
              <w:rPr>
                <w:rFonts w:cs="Arial" w:ascii="Arial" w:hAnsi="Arial"/>
                <w:b/>
                <w:bCs/>
              </w:rPr>
              <w:t>Sistema de conectividade sem fio</w:t>
            </w:r>
          </w:p>
        </w:tc>
      </w:tr>
      <w:tr>
        <w:trPr>
          <w:trHeight w:val="3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Digital programável</w:t>
            </w:r>
          </w:p>
        </w:tc>
      </w:tr>
      <w:tr>
        <w:trPr>
          <w:trHeight w:val="3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Seis canais</w:t>
            </w:r>
          </w:p>
        </w:tc>
      </w:tr>
      <w:tr>
        <w:trPr>
          <w:trHeight w:val="600" w:hRule="atLeast"/>
        </w:trPr>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880" w:type="dxa"/>
            <w:tcBorders>
              <w:top w:val="single" w:sz="4" w:space="0" w:color="000001"/>
              <w:left w:val="single" w:sz="4" w:space="0" w:color="000001"/>
              <w:bottom w:val="single" w:sz="4" w:space="0" w:color="000001"/>
              <w:insideH w:val="single" w:sz="4" w:space="0" w:color="000001"/>
            </w:tcBorders>
            <w:shd w:color="auto" w:fill="auto" w:val="clear"/>
            <w:tcMar>
              <w:left w:w="-5" w:type="dxa"/>
            </w:tcMar>
          </w:tcPr>
          <w:p>
            <w:pPr>
              <w:pStyle w:val="Normal"/>
              <w:widowControl/>
              <w:suppressAutoHyphens w:val="false"/>
              <w:overflowPunct w:val="false"/>
              <w:snapToGrid w:val="false"/>
              <w:spacing w:lineRule="auto" w:line="360"/>
              <w:jc w:val="both"/>
              <w:textAlignment w:val="auto"/>
              <w:rPr>
                <w:rFonts w:ascii="Arial" w:hAnsi="Arial" w:cs="Arial"/>
              </w:rPr>
            </w:pPr>
            <w:r>
              <w:rPr>
                <w:rFonts w:cs="Arial" w:ascii="Arial" w:hAnsi="Arial"/>
              </w:rPr>
            </w:r>
          </w:p>
        </w:tc>
        <w:tc>
          <w:tcPr>
            <w:tcW w:w="2984" w:type="dxa"/>
            <w:gridSpan w:val="3"/>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color="auto" w:fill="auto" w:val="clear"/>
            <w:tcMar>
              <w:left w:w="-5" w:type="dxa"/>
            </w:tcMar>
          </w:tcPr>
          <w:p>
            <w:pPr>
              <w:pStyle w:val="Normal"/>
              <w:widowControl/>
              <w:suppressAutoHyphens w:val="false"/>
              <w:overflowPunct w:val="false"/>
              <w:spacing w:lineRule="auto" w:line="360"/>
              <w:jc w:val="both"/>
              <w:textAlignment w:val="auto"/>
              <w:rPr/>
            </w:pPr>
            <w:r>
              <w:rPr>
                <w:rFonts w:cs="Arial" w:ascii="Arial" w:hAnsi="Arial"/>
              </w:rPr>
              <w:t>Controle de volume manual ou automático</w:t>
            </w:r>
          </w:p>
        </w:tc>
      </w:tr>
    </w:tbl>
    <w:p>
      <w:pPr>
        <w:pStyle w:val="Normal"/>
        <w:spacing w:before="120" w:after="120"/>
        <w:jc w:val="both"/>
        <w:rPr>
          <w:rFonts w:ascii="Arial" w:hAnsi="Arial" w:cs="Arial"/>
        </w:rPr>
      </w:pPr>
      <w:r>
        <w:rPr>
          <w:rFonts w:cs="Arial" w:ascii="Arial" w:hAnsi="Arial"/>
        </w:rPr>
        <w:t>* Como alguns fornecedores de AASI não utilizam o sistema de canais, se aceita a expressão ajuste independente do ganho acústico e saída em determinado número de regiões de frequência.</w:t>
      </w:r>
    </w:p>
    <w:p>
      <w:pPr>
        <w:pStyle w:val="Normal"/>
        <w:spacing w:before="120" w:after="120"/>
        <w:jc w:val="both"/>
        <w:rPr>
          <w:rFonts w:ascii="Arial" w:hAnsi="Arial" w:cs="Arial"/>
        </w:rPr>
      </w:pPr>
      <w:r>
        <w:rPr>
          <w:rFonts w:cs="Arial" w:ascii="Arial" w:hAnsi="Arial"/>
        </w:rPr>
        <w:t xml:space="preserve">** Se houver espaço no dispositivo. </w:t>
      </w:r>
    </w:p>
    <w:p>
      <w:pPr>
        <w:pStyle w:val="Normal"/>
        <w:spacing w:before="120" w:after="120"/>
        <w:jc w:val="both"/>
        <w:rPr>
          <w:rFonts w:ascii="Arial" w:hAnsi="Arial" w:cs="Arial"/>
          <w:sz w:val="24"/>
          <w:szCs w:val="24"/>
        </w:rPr>
      </w:pPr>
      <w:r>
        <w:rPr>
          <w:rFonts w:cs="Arial" w:ascii="Arial" w:hAnsi="Arial"/>
        </w:rPr>
        <w:t>Fonte: Instrutivos de Reabilitação auditiva, física, intelectual e visual (2013, p. 19).</w:t>
      </w:r>
    </w:p>
    <w:p>
      <w:pPr>
        <w:pStyle w:val="Normal"/>
        <w:spacing w:before="120" w:after="120"/>
        <w:jc w:val="both"/>
        <w:rPr>
          <w:rFonts w:ascii="Arial" w:hAnsi="Arial" w:cs="Arial"/>
          <w:sz w:val="24"/>
          <w:szCs w:val="24"/>
        </w:rPr>
      </w:pPr>
      <w:r>
        <w:rPr>
          <w:rFonts w:cs="Arial" w:ascii="Arial" w:hAnsi="Arial"/>
          <w:sz w:val="24"/>
          <w:szCs w:val="24"/>
        </w:rPr>
      </w:r>
    </w:p>
    <w:p>
      <w:pPr>
        <w:pStyle w:val="Normal"/>
        <w:spacing w:lineRule="auto" w:line="360" w:before="120" w:after="120"/>
        <w:ind w:firstLine="567"/>
        <w:jc w:val="both"/>
        <w:rPr>
          <w:rFonts w:ascii="Arial" w:hAnsi="Arial" w:cs="Arial"/>
          <w:sz w:val="24"/>
          <w:szCs w:val="24"/>
        </w:rPr>
      </w:pPr>
      <w:r>
        <w:rPr>
          <w:rFonts w:cs="Arial" w:ascii="Arial" w:hAnsi="Arial"/>
          <w:sz w:val="24"/>
          <w:szCs w:val="24"/>
        </w:rPr>
        <w:t xml:space="preserve">Recomenda-se que o percentual de prescrição e fornecimento pelos Serviços de Reabilitação Auditiva das diferentes classes de tecnologia de aparelho de amplificação sonora individual (AASI) seja de: </w:t>
      </w:r>
    </w:p>
    <w:p>
      <w:pPr>
        <w:pStyle w:val="Normal"/>
        <w:numPr>
          <w:ilvl w:val="0"/>
          <w:numId w:val="23"/>
        </w:numPr>
        <w:spacing w:lineRule="auto" w:line="360" w:before="120" w:after="120"/>
        <w:ind w:left="1134" w:hanging="567"/>
        <w:jc w:val="both"/>
        <w:rPr>
          <w:rFonts w:ascii="Arial" w:hAnsi="Arial" w:cs="Arial"/>
          <w:sz w:val="24"/>
          <w:szCs w:val="24"/>
        </w:rPr>
      </w:pPr>
      <w:r>
        <w:rPr>
          <w:rFonts w:cs="Arial" w:ascii="Arial" w:hAnsi="Arial"/>
          <w:sz w:val="24"/>
          <w:szCs w:val="24"/>
        </w:rPr>
        <w:t xml:space="preserve">Tipo A: 50% </w:t>
      </w:r>
    </w:p>
    <w:p>
      <w:pPr>
        <w:pStyle w:val="Normal"/>
        <w:numPr>
          <w:ilvl w:val="0"/>
          <w:numId w:val="23"/>
        </w:numPr>
        <w:spacing w:lineRule="auto" w:line="360" w:before="120" w:after="120"/>
        <w:ind w:left="1134" w:hanging="567"/>
        <w:jc w:val="both"/>
        <w:rPr>
          <w:rFonts w:ascii="Arial" w:hAnsi="Arial" w:cs="Arial"/>
          <w:sz w:val="24"/>
          <w:szCs w:val="24"/>
        </w:rPr>
      </w:pPr>
      <w:r>
        <w:rPr>
          <w:rFonts w:cs="Arial" w:ascii="Arial" w:hAnsi="Arial"/>
          <w:sz w:val="24"/>
          <w:szCs w:val="24"/>
        </w:rPr>
        <w:t xml:space="preserve">Tipo B: 35% </w:t>
      </w:r>
    </w:p>
    <w:p>
      <w:pPr>
        <w:pStyle w:val="Normal"/>
        <w:numPr>
          <w:ilvl w:val="0"/>
          <w:numId w:val="23"/>
        </w:numPr>
        <w:spacing w:lineRule="auto" w:line="360" w:before="120" w:after="120"/>
        <w:ind w:left="1134" w:hanging="567"/>
        <w:jc w:val="both"/>
        <w:rPr/>
      </w:pPr>
      <w:r>
        <w:rPr>
          <w:rFonts w:cs="Arial" w:ascii="Arial" w:hAnsi="Arial"/>
          <w:sz w:val="24"/>
          <w:szCs w:val="24"/>
        </w:rPr>
        <w:t xml:space="preserve">Tipo C: 15% </w:t>
      </w:r>
    </w:p>
    <w:p>
      <w:pPr>
        <w:pStyle w:val="Normal"/>
        <w:spacing w:lineRule="auto" w:line="360" w:before="120" w:after="120"/>
        <w:jc w:val="both"/>
        <w:rPr/>
      </w:pPr>
      <w:r>
        <w:rPr/>
      </w:r>
    </w:p>
    <w:p>
      <w:pPr>
        <w:pStyle w:val="Ttulo3"/>
        <w:numPr>
          <w:ilvl w:val="2"/>
          <w:numId w:val="3"/>
        </w:numPr>
        <w:rPr>
          <w:rStyle w:val="Forte1"/>
        </w:rPr>
      </w:pPr>
      <w:bookmarkStart w:id="48" w:name="_Toc434344430"/>
      <w:bookmarkStart w:id="49" w:name="_Toc434148348"/>
      <w:bookmarkEnd w:id="48"/>
      <w:bookmarkEnd w:id="49"/>
      <w:r>
        <w:rPr>
          <w:rStyle w:val="Forte1"/>
        </w:rPr>
        <w:t>6.2.6 Acompanhamento dos usuários de AASI</w:t>
      </w:r>
    </w:p>
    <w:p>
      <w:pPr>
        <w:pStyle w:val="Corpodetexto"/>
        <w:rPr>
          <w:rFonts w:eastAsia="SimSun"/>
        </w:rPr>
      </w:pPr>
      <w:r>
        <w:rPr>
          <w:rFonts w:eastAsia="SimSun"/>
        </w:rPr>
      </w:r>
    </w:p>
    <w:p>
      <w:pPr>
        <w:pStyle w:val="Normal"/>
        <w:spacing w:lineRule="auto" w:line="360" w:before="120" w:after="120"/>
        <w:ind w:firstLine="567"/>
        <w:jc w:val="both"/>
        <w:textAlignment w:val="auto"/>
        <w:rPr/>
      </w:pPr>
      <w:r>
        <w:rPr>
          <w:rFonts w:eastAsia="SimSun" w:cs="Arial" w:ascii="Arial" w:hAnsi="Arial"/>
          <w:bCs/>
          <w:sz w:val="24"/>
          <w:szCs w:val="24"/>
          <w:lang w:bidi="hi-IN"/>
        </w:rPr>
        <w:t>O</w:t>
      </w:r>
      <w:r>
        <w:rPr>
          <w:rFonts w:eastAsia="SimSun" w:cs="Arial" w:ascii="Arial" w:hAnsi="Arial"/>
          <w:bCs/>
          <w:sz w:val="24"/>
          <w:szCs w:val="24"/>
          <w:shd w:fill="FFFFFF" w:val="clear"/>
          <w:lang w:bidi="hi-IN"/>
        </w:rPr>
        <w:t xml:space="preserve"> Prestador do </w:t>
      </w:r>
      <w:r>
        <w:rPr>
          <w:rFonts w:eastAsia="SimSun" w:cs="Arial" w:ascii="Arial" w:hAnsi="Arial"/>
          <w:bCs/>
          <w:sz w:val="24"/>
          <w:szCs w:val="24"/>
          <w:lang w:bidi="hi-IN"/>
        </w:rPr>
        <w:t>Serviço Ambulatorial de Saúde Auditiva é responsável pelo acompanhamento periódico dos usuários de AASI, monitorando a perda auditiva e a efetividade do uso desse tipo de tecnologia assistiva.</w:t>
      </w:r>
    </w:p>
    <w:p>
      <w:pPr>
        <w:pStyle w:val="Normal"/>
        <w:spacing w:lineRule="auto" w:line="360" w:before="120" w:after="120"/>
        <w:jc w:val="both"/>
        <w:textAlignment w:val="auto"/>
        <w:rPr/>
      </w:pPr>
      <w:r>
        <w:rPr/>
      </w:r>
    </w:p>
    <w:p>
      <w:pPr>
        <w:pStyle w:val="Normal"/>
        <w:spacing w:lineRule="auto" w:line="360" w:before="120" w:after="120"/>
        <w:jc w:val="both"/>
        <w:textAlignment w:val="auto"/>
        <w:rPr>
          <w:rFonts w:ascii="Arial" w:hAnsi="Arial" w:eastAsia="SimSun" w:cs="Arial"/>
          <w:bCs/>
          <w:sz w:val="24"/>
          <w:szCs w:val="24"/>
          <w:lang w:bidi="hi-IN"/>
        </w:rPr>
      </w:pPr>
      <w:r>
        <w:rPr>
          <w:rFonts w:eastAsia="SimSun" w:cs="Arial" w:ascii="Arial" w:hAnsi="Arial"/>
          <w:b/>
          <w:bCs/>
          <w:sz w:val="24"/>
          <w:szCs w:val="24"/>
          <w:lang w:bidi="hi-IN"/>
        </w:rPr>
        <w:t>Usuários de AASI de até três anos de idade</w:t>
      </w:r>
      <w:r>
        <w:rPr>
          <w:rFonts w:eastAsia="SimSun" w:cs="Arial" w:ascii="Arial" w:hAnsi="Arial"/>
          <w:bCs/>
          <w:sz w:val="24"/>
          <w:szCs w:val="24"/>
          <w:lang w:bidi="hi-IN"/>
        </w:rPr>
        <w:t xml:space="preserve"> devem ser acompanhados </w:t>
      </w:r>
      <w:r>
        <w:rPr>
          <w:rFonts w:eastAsia="SimSun" w:cs="Arial" w:ascii="Arial" w:hAnsi="Arial"/>
          <w:sz w:val="24"/>
          <w:szCs w:val="24"/>
          <w:lang w:bidi="hi-IN"/>
        </w:rPr>
        <w:t>até quatro vezes/ano, por meio de:</w:t>
      </w:r>
    </w:p>
    <w:p>
      <w:pPr>
        <w:pStyle w:val="Normal"/>
        <w:numPr>
          <w:ilvl w:val="0"/>
          <w:numId w:val="24"/>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Avaliação Otorrinolaringológica; </w:t>
      </w:r>
    </w:p>
    <w:p>
      <w:pPr>
        <w:pStyle w:val="Normal"/>
        <w:numPr>
          <w:ilvl w:val="0"/>
          <w:numId w:val="24"/>
        </w:numPr>
        <w:spacing w:lineRule="auto" w:line="360" w:before="120" w:after="120"/>
        <w:ind w:left="1134" w:hanging="567"/>
        <w:jc w:val="both"/>
        <w:textAlignment w:val="auto"/>
        <w:rPr>
          <w:rFonts w:ascii="Arial" w:hAnsi="Arial" w:eastAsia="SimSun" w:cs="Arial"/>
          <w:sz w:val="24"/>
          <w:szCs w:val="24"/>
          <w:lang w:bidi="hi-IN"/>
        </w:rPr>
      </w:pPr>
      <w:r>
        <w:rPr>
          <w:rFonts w:eastAsia="SimSun" w:cs="Arial" w:ascii="Arial" w:hAnsi="Arial"/>
          <w:bCs/>
          <w:sz w:val="24"/>
          <w:szCs w:val="24"/>
          <w:lang w:bidi="hi-IN"/>
        </w:rPr>
        <w:t>Avaliação Audiológica;</w:t>
      </w:r>
    </w:p>
    <w:p>
      <w:pPr>
        <w:pStyle w:val="Normal"/>
        <w:numPr>
          <w:ilvl w:val="1"/>
          <w:numId w:val="24"/>
        </w:numPr>
        <w:spacing w:lineRule="auto" w:line="360" w:before="120" w:after="120"/>
        <w:ind w:left="1701" w:hanging="567"/>
        <w:jc w:val="both"/>
        <w:textAlignment w:val="auto"/>
        <w:rPr>
          <w:rFonts w:ascii="Arial" w:hAnsi="Arial" w:eastAsia="SimSun" w:cs="Arial"/>
          <w:sz w:val="24"/>
          <w:szCs w:val="24"/>
          <w:lang w:bidi="hi-IN"/>
        </w:rPr>
      </w:pPr>
      <w:r>
        <w:rPr>
          <w:rFonts w:eastAsia="SimSun" w:cs="Arial" w:ascii="Arial" w:hAnsi="Arial"/>
          <w:sz w:val="24"/>
          <w:szCs w:val="24"/>
          <w:lang w:bidi="hi-IN"/>
        </w:rPr>
        <w:t>Audiometria de Reforço Visual (VRA) após 5 meses de uso do AASI;</w:t>
      </w:r>
    </w:p>
    <w:p>
      <w:pPr>
        <w:pStyle w:val="Normal"/>
        <w:numPr>
          <w:ilvl w:val="1"/>
          <w:numId w:val="24"/>
        </w:numPr>
        <w:spacing w:lineRule="auto" w:line="360" w:before="120" w:after="120"/>
        <w:ind w:left="1701" w:hanging="567"/>
        <w:jc w:val="both"/>
        <w:textAlignment w:val="auto"/>
        <w:rPr>
          <w:rFonts w:ascii="Arial" w:hAnsi="Arial" w:eastAsia="SimSun" w:cs="Arial"/>
          <w:sz w:val="24"/>
          <w:szCs w:val="24"/>
          <w:lang w:bidi="hi-IN"/>
        </w:rPr>
      </w:pPr>
      <w:r>
        <w:rPr>
          <w:rFonts w:eastAsia="SimSun" w:cs="Arial" w:ascii="Arial" w:hAnsi="Arial"/>
          <w:sz w:val="24"/>
          <w:szCs w:val="24"/>
          <w:lang w:bidi="hi-IN"/>
        </w:rPr>
        <w:t xml:space="preserve">Audiometria em campo livre com e sem AASI; </w:t>
      </w:r>
    </w:p>
    <w:p>
      <w:pPr>
        <w:pStyle w:val="Normal"/>
        <w:numPr>
          <w:ilvl w:val="1"/>
          <w:numId w:val="24"/>
        </w:numPr>
        <w:spacing w:lineRule="auto" w:line="360" w:before="120" w:after="120"/>
        <w:ind w:left="1701" w:hanging="567"/>
        <w:jc w:val="both"/>
        <w:textAlignment w:val="auto"/>
        <w:rPr>
          <w:rFonts w:ascii="Arial" w:hAnsi="Arial" w:eastAsia="SimSun" w:cs="Arial"/>
          <w:sz w:val="24"/>
          <w:szCs w:val="24"/>
          <w:lang w:bidi="hi-IN"/>
        </w:rPr>
      </w:pPr>
      <w:r>
        <w:rPr>
          <w:rFonts w:eastAsia="SimSun" w:cs="Arial" w:ascii="Arial" w:hAnsi="Arial"/>
          <w:sz w:val="24"/>
          <w:szCs w:val="24"/>
          <w:lang w:bidi="hi-IN"/>
        </w:rPr>
        <w:t xml:space="preserve">Imitanciometria; </w:t>
      </w:r>
    </w:p>
    <w:p>
      <w:pPr>
        <w:pStyle w:val="Normal"/>
        <w:numPr>
          <w:ilvl w:val="0"/>
          <w:numId w:val="24"/>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sz w:val="24"/>
          <w:szCs w:val="24"/>
          <w:lang w:bidi="hi-IN"/>
        </w:rPr>
        <w:t xml:space="preserve">Reposição de molde auricular; </w:t>
      </w:r>
    </w:p>
    <w:p>
      <w:pPr>
        <w:pStyle w:val="Normal"/>
        <w:numPr>
          <w:ilvl w:val="1"/>
          <w:numId w:val="24"/>
        </w:numPr>
        <w:spacing w:lineRule="auto" w:line="360" w:before="120" w:after="120"/>
        <w:ind w:left="1701"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Verificação do desempenho eletroacústico do AASI; </w:t>
      </w:r>
    </w:p>
    <w:p>
      <w:pPr>
        <w:pStyle w:val="Normal"/>
        <w:numPr>
          <w:ilvl w:val="1"/>
          <w:numId w:val="24"/>
        </w:numPr>
        <w:spacing w:lineRule="auto" w:line="360" w:before="120" w:after="120"/>
        <w:ind w:left="1701"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Medida da RECD;</w:t>
      </w:r>
    </w:p>
    <w:p>
      <w:pPr>
        <w:pStyle w:val="Normal"/>
        <w:numPr>
          <w:ilvl w:val="3"/>
          <w:numId w:val="24"/>
        </w:numPr>
        <w:tabs>
          <w:tab w:val="left" w:pos="741" w:leader="none"/>
        </w:tabs>
        <w:spacing w:lineRule="auto" w:line="360" w:before="120" w:after="120"/>
        <w:ind w:left="2268"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Verificação eletroacústica no acoplador 2,0 ml, utilizando a medida da RECD como fator de correção; </w:t>
      </w:r>
    </w:p>
    <w:p>
      <w:pPr>
        <w:pStyle w:val="Normal"/>
        <w:numPr>
          <w:ilvl w:val="0"/>
          <w:numId w:val="24"/>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Níveis mínimos de respostas em campo livre com e sem AASI;</w:t>
      </w:r>
    </w:p>
    <w:p>
      <w:pPr>
        <w:pStyle w:val="Normal"/>
        <w:numPr>
          <w:ilvl w:val="0"/>
          <w:numId w:val="24"/>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Protocolo de avaliação da função auditiva;</w:t>
      </w:r>
    </w:p>
    <w:p>
      <w:pPr>
        <w:pStyle w:val="Normal"/>
        <w:numPr>
          <w:ilvl w:val="0"/>
          <w:numId w:val="24"/>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Protocolo de avaliação do desenvolvimento de linguagem; </w:t>
      </w:r>
    </w:p>
    <w:p>
      <w:pPr>
        <w:pStyle w:val="Normal"/>
        <w:numPr>
          <w:ilvl w:val="0"/>
          <w:numId w:val="24"/>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Orientação e aconselhamento à família quanto ao manuseio e manutenção dos componentes do AASI e a conscientização da necessidade da terapia fonoaudiológica. </w:t>
      </w:r>
    </w:p>
    <w:p>
      <w:pPr>
        <w:pStyle w:val="Normal"/>
        <w:spacing w:lineRule="auto" w:line="360" w:before="120" w:after="120"/>
        <w:jc w:val="both"/>
        <w:textAlignment w:val="auto"/>
        <w:rPr>
          <w:rFonts w:ascii="Arial" w:hAnsi="Arial" w:eastAsia="SimSun" w:cs="Arial"/>
          <w:bCs/>
          <w:sz w:val="24"/>
          <w:szCs w:val="24"/>
          <w:lang w:bidi="hi-IN"/>
        </w:rPr>
      </w:pPr>
      <w:r>
        <w:rPr>
          <w:rFonts w:eastAsia="SimSun" w:cs="Arial" w:ascii="Arial" w:hAnsi="Arial"/>
          <w:bCs/>
          <w:sz w:val="24"/>
          <w:szCs w:val="24"/>
          <w:lang w:bidi="hi-IN"/>
        </w:rPr>
      </w:r>
    </w:p>
    <w:p>
      <w:pPr>
        <w:pStyle w:val="Normal"/>
        <w:spacing w:lineRule="auto" w:line="360" w:before="120" w:after="120"/>
        <w:jc w:val="both"/>
        <w:textAlignment w:val="auto"/>
        <w:rPr>
          <w:rFonts w:ascii="Arial" w:hAnsi="Arial" w:eastAsia="SimSun" w:cs="Arial"/>
          <w:bCs/>
          <w:sz w:val="24"/>
          <w:szCs w:val="24"/>
          <w:lang w:bidi="hi-IN"/>
        </w:rPr>
      </w:pPr>
      <w:r>
        <w:rPr>
          <w:rFonts w:eastAsia="SimSun" w:cs="Arial" w:ascii="Arial" w:hAnsi="Arial"/>
          <w:b/>
          <w:bCs/>
          <w:sz w:val="24"/>
          <w:szCs w:val="24"/>
          <w:lang w:bidi="hi-IN"/>
        </w:rPr>
        <w:t>Usuários de AASI maiores de três anos</w:t>
      </w:r>
      <w:r>
        <w:rPr>
          <w:rFonts w:eastAsia="SimSun" w:cs="Arial" w:ascii="Arial" w:hAnsi="Arial"/>
          <w:bCs/>
          <w:sz w:val="24"/>
          <w:szCs w:val="24"/>
          <w:lang w:bidi="hi-IN"/>
        </w:rPr>
        <w:t xml:space="preserve"> devem ser acompanhados até duas vezes/ano, por meio de: </w:t>
      </w:r>
    </w:p>
    <w:p>
      <w:pPr>
        <w:pStyle w:val="Normal"/>
        <w:numPr>
          <w:ilvl w:val="0"/>
          <w:numId w:val="25"/>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Avaliação Otorrinolaringológica;</w:t>
      </w:r>
    </w:p>
    <w:p>
      <w:pPr>
        <w:pStyle w:val="Normal"/>
        <w:numPr>
          <w:ilvl w:val="0"/>
          <w:numId w:val="25"/>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Avaliação Audiológica; </w:t>
      </w:r>
    </w:p>
    <w:p>
      <w:pPr>
        <w:pStyle w:val="Normal"/>
        <w:numPr>
          <w:ilvl w:val="1"/>
          <w:numId w:val="25"/>
        </w:numPr>
        <w:tabs>
          <w:tab w:val="left" w:pos="1134" w:leader="none"/>
        </w:tabs>
        <w:spacing w:lineRule="auto" w:line="360" w:before="120" w:after="120"/>
        <w:ind w:left="1701" w:hanging="621"/>
        <w:jc w:val="both"/>
        <w:textAlignment w:val="auto"/>
        <w:rPr>
          <w:rFonts w:ascii="Arial" w:hAnsi="Arial" w:eastAsia="SimSun" w:cs="Arial"/>
          <w:bCs/>
          <w:sz w:val="24"/>
          <w:szCs w:val="24"/>
          <w:lang w:bidi="hi-IN"/>
        </w:rPr>
      </w:pPr>
      <w:r>
        <w:rPr>
          <w:rFonts w:eastAsia="SimSun" w:cs="Arial" w:ascii="Arial" w:hAnsi="Arial"/>
          <w:bCs/>
          <w:sz w:val="24"/>
          <w:szCs w:val="24"/>
          <w:lang w:bidi="hi-IN"/>
        </w:rPr>
        <w:t>Audiometria tonal;</w:t>
      </w:r>
    </w:p>
    <w:p>
      <w:pPr>
        <w:pStyle w:val="Normal"/>
        <w:numPr>
          <w:ilvl w:val="1"/>
          <w:numId w:val="25"/>
        </w:numPr>
        <w:tabs>
          <w:tab w:val="left" w:pos="1134" w:leader="none"/>
        </w:tabs>
        <w:spacing w:lineRule="auto" w:line="360" w:before="120" w:after="120"/>
        <w:ind w:left="1701" w:hanging="621"/>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Logoaudiometria (LDV, LRF, IRF); </w:t>
      </w:r>
    </w:p>
    <w:p>
      <w:pPr>
        <w:pStyle w:val="Normal"/>
        <w:numPr>
          <w:ilvl w:val="1"/>
          <w:numId w:val="25"/>
        </w:numPr>
        <w:tabs>
          <w:tab w:val="left" w:pos="1134" w:leader="none"/>
        </w:tabs>
        <w:spacing w:lineRule="auto" w:line="360" w:before="120" w:after="120"/>
        <w:ind w:left="1701" w:hanging="621"/>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Imitanciometria; </w:t>
      </w:r>
    </w:p>
    <w:p>
      <w:pPr>
        <w:pStyle w:val="Normal"/>
        <w:numPr>
          <w:ilvl w:val="0"/>
          <w:numId w:val="25"/>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Reposição de molde auricular, micro tubos ou receptores no canal; </w:t>
      </w:r>
    </w:p>
    <w:p>
      <w:pPr>
        <w:pStyle w:val="Normal"/>
        <w:numPr>
          <w:ilvl w:val="0"/>
          <w:numId w:val="25"/>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Reposição de cápsula dos aparelhos intra canal e micro canal uma vez ao ano; </w:t>
      </w:r>
    </w:p>
    <w:p>
      <w:pPr>
        <w:pStyle w:val="Normal"/>
        <w:numPr>
          <w:ilvl w:val="0"/>
          <w:numId w:val="25"/>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Verificação do desempenho eletroacústico do AASI; </w:t>
      </w:r>
    </w:p>
    <w:p>
      <w:pPr>
        <w:pStyle w:val="Normal"/>
        <w:numPr>
          <w:ilvl w:val="1"/>
          <w:numId w:val="25"/>
        </w:numPr>
        <w:spacing w:lineRule="auto" w:line="360" w:before="120" w:after="120"/>
        <w:ind w:left="2268" w:hanging="567"/>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Medidas com microfone sonda; </w:t>
      </w:r>
    </w:p>
    <w:p>
      <w:pPr>
        <w:pStyle w:val="Normal"/>
        <w:numPr>
          <w:ilvl w:val="0"/>
          <w:numId w:val="25"/>
        </w:numPr>
        <w:spacing w:lineRule="auto" w:line="360" w:before="120" w:after="120"/>
        <w:ind w:left="1276" w:hanging="709"/>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Protocolo de avaliação da função auditiva; </w:t>
      </w:r>
    </w:p>
    <w:p>
      <w:pPr>
        <w:pStyle w:val="Normal"/>
        <w:numPr>
          <w:ilvl w:val="0"/>
          <w:numId w:val="25"/>
        </w:numPr>
        <w:spacing w:lineRule="auto" w:line="360" w:before="120" w:after="120"/>
        <w:ind w:left="1276" w:hanging="709"/>
        <w:jc w:val="both"/>
        <w:textAlignment w:val="auto"/>
        <w:rPr>
          <w:rFonts w:ascii="Arial" w:hAnsi="Arial" w:eastAsia="SimSun" w:cs="Arial"/>
          <w:bCs/>
          <w:sz w:val="24"/>
          <w:szCs w:val="24"/>
          <w:lang w:bidi="hi-IN"/>
        </w:rPr>
      </w:pPr>
      <w:r>
        <w:rPr>
          <w:rFonts w:eastAsia="SimSun" w:cs="Arial" w:ascii="Arial" w:hAnsi="Arial"/>
          <w:bCs/>
          <w:sz w:val="24"/>
          <w:szCs w:val="24"/>
          <w:lang w:bidi="hi-IN"/>
        </w:rPr>
        <w:t xml:space="preserve">Protocolo de avaliação do desenvolvimento de linguagem; </w:t>
      </w:r>
    </w:p>
    <w:p>
      <w:pPr>
        <w:pStyle w:val="Normal"/>
        <w:numPr>
          <w:ilvl w:val="0"/>
          <w:numId w:val="25"/>
        </w:numPr>
        <w:spacing w:lineRule="auto" w:line="360" w:before="120" w:after="120"/>
        <w:ind w:left="1276" w:hanging="709"/>
        <w:jc w:val="both"/>
        <w:textAlignment w:val="auto"/>
        <w:rPr/>
      </w:pPr>
      <w:r>
        <w:rPr>
          <w:rFonts w:eastAsia="SimSun" w:cs="Arial" w:ascii="Arial" w:hAnsi="Arial"/>
          <w:bCs/>
          <w:sz w:val="24"/>
          <w:szCs w:val="24"/>
          <w:lang w:bidi="hi-IN"/>
        </w:rPr>
        <w:t xml:space="preserve">Orientação e aconselhamento à família quanto ao manuseio e manutenção dos componentes do AASI e conscientização da necessidade da terapia fonoaudiológica. </w:t>
      </w:r>
    </w:p>
    <w:p>
      <w:pPr>
        <w:pStyle w:val="Normal"/>
        <w:spacing w:lineRule="auto" w:line="360" w:before="120" w:after="120"/>
        <w:jc w:val="both"/>
        <w:textAlignment w:val="auto"/>
        <w:rPr/>
      </w:pPr>
      <w:r>
        <w:rPr/>
      </w:r>
    </w:p>
    <w:p>
      <w:pPr>
        <w:pStyle w:val="Ttulo3"/>
        <w:numPr>
          <w:ilvl w:val="2"/>
          <w:numId w:val="3"/>
        </w:numPr>
        <w:rPr>
          <w:rStyle w:val="Forte1"/>
        </w:rPr>
      </w:pPr>
      <w:bookmarkStart w:id="50" w:name="_Toc434344431"/>
      <w:bookmarkStart w:id="51" w:name="_Toc434148349"/>
      <w:r>
        <w:rPr>
          <w:rStyle w:val="Forte1"/>
          <w:rFonts w:eastAsia="SimSun"/>
          <w:lang w:bidi="hi-IN"/>
        </w:rPr>
        <w:t xml:space="preserve">6.2.7 </w:t>
      </w:r>
      <w:bookmarkEnd w:id="50"/>
      <w:bookmarkEnd w:id="51"/>
      <w:r>
        <w:rPr>
          <w:rStyle w:val="Forte1"/>
        </w:rPr>
        <w:t>Reposição de AASI</w:t>
      </w:r>
    </w:p>
    <w:p>
      <w:pPr>
        <w:pStyle w:val="Corpodetexto"/>
        <w:rPr>
          <w:rFonts w:eastAsia="SimSun"/>
        </w:rPr>
      </w:pPr>
      <w:r>
        <w:rPr>
          <w:rFonts w:eastAsia="SimSun"/>
        </w:rPr>
      </w:r>
    </w:p>
    <w:p>
      <w:pPr>
        <w:pStyle w:val="Normal"/>
        <w:spacing w:lineRule="auto" w:line="360" w:before="120" w:after="120"/>
        <w:ind w:firstLine="567"/>
        <w:jc w:val="both"/>
        <w:rPr>
          <w:rFonts w:ascii="Arial" w:hAnsi="Arial" w:eastAsia="SimSun" w:cs="Arial"/>
          <w:bCs/>
          <w:sz w:val="24"/>
          <w:szCs w:val="24"/>
          <w:lang w:bidi="hi-IN"/>
        </w:rPr>
      </w:pPr>
      <w:r>
        <w:rPr>
          <w:rFonts w:eastAsia="SimSun" w:cs="Arial" w:ascii="Arial" w:hAnsi="Arial"/>
          <w:bCs/>
          <w:sz w:val="24"/>
          <w:szCs w:val="24"/>
          <w:lang w:bidi="hi-IN"/>
        </w:rPr>
        <w:t xml:space="preserve">Os critérios para a indicação de reposição de AASI estão de acordo com os Instrutivos de Reabilitação auditiva, física, intelectual e visual </w:t>
      </w:r>
      <w:r>
        <w:rPr>
          <w:rFonts w:eastAsia="SimSun" w:cs="Arial" w:ascii="Arial" w:hAnsi="Arial"/>
          <w:sz w:val="24"/>
          <w:szCs w:val="24"/>
          <w:lang w:bidi="hi-IN"/>
        </w:rPr>
        <w:t>e com os parâmetros do Serviço de Saúde Auditiva de Santa Catarina, sendo os seguintes:</w:t>
      </w:r>
    </w:p>
    <w:p>
      <w:pPr>
        <w:pStyle w:val="PargrafodaLista1"/>
        <w:numPr>
          <w:ilvl w:val="0"/>
          <w:numId w:val="26"/>
        </w:numPr>
        <w:spacing w:lineRule="auto" w:line="360" w:before="120" w:after="120"/>
        <w:ind w:left="1134" w:hanging="567"/>
        <w:jc w:val="both"/>
        <w:rPr>
          <w:rFonts w:ascii="Arial" w:hAnsi="Arial" w:eastAsia="SimSun" w:cs="Arial"/>
          <w:bCs/>
          <w:sz w:val="24"/>
          <w:szCs w:val="24"/>
          <w:lang w:bidi="hi-IN"/>
        </w:rPr>
      </w:pPr>
      <w:r>
        <w:rPr>
          <w:rFonts w:eastAsia="SimSun" w:cs="Arial" w:ascii="Arial" w:hAnsi="Arial"/>
          <w:bCs/>
          <w:sz w:val="24"/>
          <w:szCs w:val="24"/>
          <w:lang w:bidi="hi-IN"/>
        </w:rPr>
        <w:t>Perda auditiva progressiva comprovada, quando não houver possibilidade de regulagem do AASI anteriormente adaptado;</w:t>
      </w:r>
    </w:p>
    <w:p>
      <w:pPr>
        <w:pStyle w:val="PargrafodaLista1"/>
        <w:numPr>
          <w:ilvl w:val="0"/>
          <w:numId w:val="26"/>
        </w:numPr>
        <w:spacing w:lineRule="auto" w:line="360" w:before="120" w:after="120"/>
        <w:ind w:left="1134" w:hanging="567"/>
        <w:jc w:val="both"/>
        <w:rPr/>
      </w:pPr>
      <w:r>
        <w:rPr>
          <w:rFonts w:eastAsia="SimSun" w:cs="Arial" w:ascii="Arial" w:hAnsi="Arial"/>
          <w:bCs/>
          <w:sz w:val="24"/>
          <w:szCs w:val="24"/>
          <w:lang w:bidi="hi-IN"/>
        </w:rPr>
        <w:t>Perda, furto ou roubo devidamente comprovado com Boletim de Ocorrência policial (BO).</w:t>
      </w:r>
    </w:p>
    <w:p>
      <w:pPr>
        <w:pStyle w:val="PargrafodaLista1"/>
        <w:numPr>
          <w:ilvl w:val="0"/>
          <w:numId w:val="0"/>
        </w:numPr>
        <w:spacing w:lineRule="auto" w:line="360" w:before="120" w:after="120"/>
        <w:ind w:left="1287" w:hanging="0"/>
        <w:jc w:val="both"/>
        <w:rPr>
          <w:rFonts w:ascii="Arial" w:hAnsi="Arial" w:eastAsia="SimSun" w:cs="Arial"/>
          <w:bCs/>
          <w:sz w:val="24"/>
          <w:szCs w:val="24"/>
          <w:lang w:bidi="hi-IN"/>
        </w:rPr>
      </w:pPr>
      <w:r>
        <w:rPr>
          <w:rFonts w:eastAsia="SimSun" w:cs="Arial" w:ascii="Arial" w:hAnsi="Arial"/>
          <w:bCs/>
          <w:sz w:val="24"/>
          <w:szCs w:val="24"/>
          <w:lang w:bidi="hi-IN"/>
        </w:rPr>
      </w:r>
    </w:p>
    <w:p>
      <w:pPr>
        <w:pStyle w:val="Normal"/>
        <w:spacing w:lineRule="auto" w:line="360" w:before="120" w:after="120"/>
        <w:ind w:firstLine="567"/>
        <w:jc w:val="both"/>
        <w:rPr>
          <w:color w:val="FF3333"/>
        </w:rPr>
      </w:pPr>
      <w:r>
        <w:rPr>
          <w:rFonts w:eastAsia="SimSun" w:cs="Arial" w:ascii="Arial" w:hAnsi="Arial"/>
          <w:bCs/>
          <w:color w:val="000000"/>
          <w:sz w:val="24"/>
          <w:szCs w:val="24"/>
          <w:lang w:bidi="hi-IN"/>
        </w:rPr>
        <w:t>Serão considerados como parâmetro de perda auditiva progressiva para a reposição de AASI quando o resultado da audiometria tonal limiar apresentar piora nos limiares auditivos de pelo menos 15dB em duas ou mais frequências, em, pelo menos, uma orelha, sem alterações na orelha média que justifiquem a progressão ou flutuação da perda auditiva; e quando não houver possibilidade de regulagem do AASI anteriormente adaptado. Deve ser comprovado e justificado por meio de relatório e verificação do desempenho do AASI.</w:t>
      </w:r>
    </w:p>
    <w:p>
      <w:pPr>
        <w:pStyle w:val="Normal"/>
        <w:spacing w:lineRule="auto" w:line="360" w:before="120" w:after="120"/>
        <w:ind w:firstLine="567"/>
        <w:jc w:val="both"/>
        <w:rPr>
          <w:rFonts w:ascii="Arial" w:hAnsi="Arial" w:eastAsia="SimSun" w:cs="Arial"/>
          <w:bCs/>
          <w:sz w:val="24"/>
          <w:szCs w:val="24"/>
          <w:highlight w:val="white"/>
          <w:lang w:bidi="hi-IN"/>
        </w:rPr>
      </w:pPr>
      <w:r>
        <w:rPr>
          <w:rFonts w:eastAsia="SimSun" w:cs="Arial" w:ascii="Arial" w:hAnsi="Arial"/>
          <w:bCs/>
          <w:sz w:val="24"/>
          <w:szCs w:val="24"/>
          <w:lang w:bidi="hi-IN"/>
        </w:rPr>
        <w:t>Nos casos de perda, roubo ou furto, o BO deverá ser original, assinado por quem emitiu o documento, constando o número de série do(s) AASI(s). O usuário deverá atentar para o dispost</w:t>
      </w:r>
      <w:r>
        <w:rPr>
          <w:rFonts w:eastAsia="SimSun" w:cs="Arial" w:ascii="Arial" w:hAnsi="Arial"/>
          <w:bCs/>
          <w:sz w:val="24"/>
          <w:szCs w:val="24"/>
          <w:shd w:fill="FFFFFF" w:val="clear"/>
          <w:lang w:bidi="hi-IN"/>
        </w:rPr>
        <w:t>o nos artigos 299 e 340, do Código Penal Brasileiro, quanto à falsidade ideológica e a falsa comunicação.</w:t>
      </w:r>
    </w:p>
    <w:p>
      <w:pPr>
        <w:pStyle w:val="PargrafodaLista1"/>
        <w:numPr>
          <w:ilvl w:val="0"/>
          <w:numId w:val="27"/>
        </w:numPr>
        <w:spacing w:lineRule="auto" w:line="360" w:before="120" w:after="120"/>
        <w:ind w:left="1134" w:hanging="567"/>
        <w:jc w:val="both"/>
        <w:rPr>
          <w:rFonts w:ascii="Arial" w:hAnsi="Arial" w:eastAsia="SimSun" w:cs="Arial"/>
          <w:bCs/>
          <w:sz w:val="24"/>
          <w:szCs w:val="24"/>
          <w:highlight w:val="white"/>
          <w:lang w:bidi="hi-IN"/>
        </w:rPr>
      </w:pPr>
      <w:r>
        <w:rPr>
          <w:rFonts w:eastAsia="SimSun" w:cs="Arial" w:ascii="Arial" w:hAnsi="Arial"/>
          <w:bCs/>
          <w:sz w:val="24"/>
          <w:szCs w:val="24"/>
          <w:shd w:fill="FFFFFF" w:val="clear"/>
          <w:lang w:bidi="hi-IN"/>
        </w:rPr>
        <w:t>Falha técnica do funcionament</w:t>
      </w:r>
      <w:r>
        <w:rPr>
          <w:rFonts w:eastAsia="SimSun" w:cs="Arial" w:ascii="Arial" w:hAnsi="Arial"/>
          <w:bCs/>
          <w:sz w:val="24"/>
          <w:szCs w:val="24"/>
          <w:lang w:bidi="hi-IN"/>
        </w:rPr>
        <w:t>o dos componentes internos e/ou externos do AASI, findo o prazo de garantia de fábrica do AASI, não havendo possibilidade de manutenção e mediante relatório da assistência técnica, devidamente validado pelo responsável técnico do serviço de assistência técnica.</w:t>
      </w:r>
    </w:p>
    <w:p>
      <w:pPr>
        <w:pStyle w:val="Normal"/>
        <w:spacing w:lineRule="auto" w:line="360" w:before="120" w:after="120"/>
        <w:ind w:firstLine="567"/>
        <w:jc w:val="both"/>
        <w:rPr>
          <w:rFonts w:ascii="Arial" w:hAnsi="Arial" w:eastAsia="SimSun" w:cs="Arial"/>
          <w:bCs/>
          <w:sz w:val="24"/>
          <w:szCs w:val="24"/>
          <w:lang w:bidi="hi-IN"/>
        </w:rPr>
      </w:pPr>
      <w:r>
        <w:rPr>
          <w:rFonts w:eastAsia="SimSun" w:cs="Arial" w:ascii="Arial" w:hAnsi="Arial"/>
          <w:bCs/>
          <w:sz w:val="24"/>
          <w:szCs w:val="24"/>
          <w:shd w:fill="FFFFFF" w:val="clear"/>
          <w:lang w:bidi="hi-IN"/>
        </w:rPr>
        <w:t xml:space="preserve">Nos casos de falha técnica do funcionamento do AASI, descrito acima, os orçamentos serão considerados como reposição, somente aqueles no valor acima de 60% do valor do aparelho Tipo A. </w:t>
      </w:r>
    </w:p>
    <w:p>
      <w:pPr>
        <w:pStyle w:val="Normal"/>
        <w:spacing w:lineRule="auto" w:line="360" w:before="120" w:after="120"/>
        <w:ind w:firstLine="567"/>
        <w:jc w:val="both"/>
        <w:rPr>
          <w:rFonts w:ascii="Arial" w:hAnsi="Arial" w:eastAsia="SimSun" w:cs="Arial"/>
          <w:bCs/>
          <w:sz w:val="24"/>
          <w:szCs w:val="24"/>
          <w:lang w:bidi="hi-IN"/>
        </w:rPr>
      </w:pPr>
      <w:r>
        <w:rPr>
          <w:rFonts w:eastAsia="SimSun" w:cs="Arial" w:ascii="Arial" w:hAnsi="Arial"/>
          <w:bCs/>
          <w:sz w:val="24"/>
          <w:szCs w:val="24"/>
          <w:lang w:bidi="hi-IN"/>
        </w:rPr>
        <w:t>O relatório de orçamento da assistência técnica deverá ser o original, em papel timbrado da empresa que o forneceu, com CNPJ, carimbo, nome e assinatura do técnico responsável, bem como a discriminação do valor dos componentes a serem repostos e da mão de obra, as condições de pagamento, bem como as datas de início e término dos serviços, conforme o Art. 40 da Lei 8.078, de 11 de setembro de 1990.</w:t>
      </w:r>
    </w:p>
    <w:p>
      <w:pPr>
        <w:pStyle w:val="Normal"/>
        <w:spacing w:lineRule="auto" w:line="360" w:before="120" w:after="120"/>
        <w:ind w:firstLine="567"/>
        <w:jc w:val="both"/>
        <w:rPr/>
      </w:pPr>
      <w:r>
        <w:rPr>
          <w:rFonts w:eastAsia="SimSun" w:cs="Arial" w:ascii="Arial" w:hAnsi="Arial"/>
          <w:bCs/>
          <w:sz w:val="24"/>
          <w:szCs w:val="24"/>
          <w:lang w:bidi="hi-IN"/>
        </w:rPr>
        <w:t xml:space="preserve">Serão utilizadas até 20% das vagas de avaliação inicial para a reposição de AASI por orçamento e BO, sendo distribuídas conforme o número de vagas descritas no </w:t>
      </w:r>
      <w:r>
        <w:rPr>
          <w:rFonts w:eastAsia="SimSun" w:cs="Arial" w:ascii="Arial" w:hAnsi="Arial"/>
          <w:bCs/>
          <w:sz w:val="24"/>
          <w:szCs w:val="24"/>
          <w:shd w:fill="FFFFFF" w:val="clear"/>
          <w:lang w:bidi="hi-IN"/>
        </w:rPr>
        <w:t>Termo de Compromisso de Garantia de Acesso à Assistência Ambulatorial em Saúde Auditiva.</w:t>
      </w:r>
    </w:p>
    <w:p>
      <w:pPr>
        <w:pStyle w:val="Normal"/>
        <w:spacing w:lineRule="auto" w:line="360" w:before="120" w:after="120"/>
        <w:ind w:firstLine="567"/>
        <w:jc w:val="both"/>
        <w:rPr/>
      </w:pPr>
      <w:r>
        <w:rPr>
          <w:rFonts w:eastAsia="SimSun" w:cs="Arial" w:ascii="Arial" w:hAnsi="Arial"/>
          <w:bCs/>
          <w:sz w:val="24"/>
          <w:szCs w:val="24"/>
          <w:lang w:bidi="hi-IN"/>
        </w:rPr>
        <w:t>Os usuários terão direito ao recebimento de AASI por orçamento quando comprovados, no seu prontuário, todos os seus comparecimentos nos acompanhamentos periódicos. Se não houver o cumprimento deste critério, o usuário não poderá ser incluído na utilização de 20% das vagas de reposição, e aguardará na lista de espera de reposição (se houver).</w:t>
      </w:r>
    </w:p>
    <w:p>
      <w:pPr>
        <w:pStyle w:val="Normal"/>
        <w:spacing w:lineRule="auto" w:line="360" w:before="120" w:after="120"/>
        <w:ind w:firstLine="567"/>
        <w:jc w:val="both"/>
        <w:rPr/>
      </w:pPr>
      <w:r>
        <w:rPr/>
      </w:r>
    </w:p>
    <w:p>
      <w:pPr>
        <w:pStyle w:val="Ttulo3"/>
        <w:numPr>
          <w:ilvl w:val="2"/>
          <w:numId w:val="3"/>
        </w:numPr>
        <w:rPr/>
      </w:pPr>
      <w:bookmarkStart w:id="52" w:name="_Toc434344432"/>
      <w:bookmarkStart w:id="53" w:name="_Toc434148350"/>
      <w:r>
        <w:rPr>
          <w:rStyle w:val="Forte1"/>
          <w:rFonts w:eastAsia="SimSun"/>
          <w:color w:val="000000"/>
          <w:lang w:bidi="hi-IN"/>
        </w:rPr>
        <w:t xml:space="preserve">6.2.8 </w:t>
      </w:r>
      <w:bookmarkEnd w:id="52"/>
      <w:bookmarkEnd w:id="53"/>
      <w:r>
        <w:rPr>
          <w:rStyle w:val="Forte1"/>
          <w:rFonts w:eastAsia="SimSun"/>
          <w:color w:val="000000"/>
          <w:lang w:bidi="hi-IN"/>
        </w:rPr>
        <w:t>Transferência</w:t>
      </w:r>
    </w:p>
    <w:p>
      <w:pPr>
        <w:pStyle w:val="Ttulo3"/>
        <w:numPr>
          <w:ilvl w:val="2"/>
          <w:numId w:val="3"/>
        </w:numPr>
        <w:rPr>
          <w:rStyle w:val="Forte1"/>
          <w:color w:val="000000"/>
        </w:rPr>
      </w:pPr>
      <w:r>
        <w:rPr>
          <w:rFonts w:eastAsia="SimSun"/>
          <w:color w:val="FF3333"/>
          <w:lang w:bidi="hi-IN"/>
        </w:rPr>
      </w:r>
    </w:p>
    <w:p>
      <w:pPr>
        <w:pStyle w:val="Normal"/>
        <w:widowControl/>
        <w:bidi w:val="0"/>
        <w:spacing w:lineRule="auto" w:line="360"/>
        <w:ind w:left="0" w:right="0" w:hanging="0"/>
        <w:jc w:val="both"/>
        <w:rPr>
          <w:rFonts w:ascii="Arial" w:hAnsi="Arial"/>
          <w:sz w:val="24"/>
          <w:szCs w:val="24"/>
        </w:rPr>
      </w:pPr>
      <w:r>
        <w:rPr>
          <w:rStyle w:val="Forte1"/>
          <w:rFonts w:eastAsia="SimSun" w:ascii="Arial" w:hAnsi="Arial"/>
          <w:b w:val="false"/>
          <w:bCs w:val="false"/>
          <w:i w:val="false"/>
          <w:caps w:val="false"/>
          <w:smallCaps w:val="false"/>
          <w:color w:val="000000"/>
          <w:spacing w:val="0"/>
          <w:sz w:val="24"/>
          <w:szCs w:val="24"/>
          <w:lang w:bidi="hi-IN"/>
        </w:rPr>
        <w:t xml:space="preserve"> </w:t>
      </w:r>
      <w:r>
        <w:rPr>
          <w:rStyle w:val="Forte1"/>
          <w:rFonts w:eastAsia="SimSun" w:ascii="Arial" w:hAnsi="Arial"/>
          <w:b w:val="false"/>
          <w:bCs w:val="false"/>
          <w:i w:val="false"/>
          <w:caps w:val="false"/>
          <w:smallCaps w:val="false"/>
          <w:color w:val="000000"/>
          <w:spacing w:val="0"/>
          <w:sz w:val="24"/>
          <w:szCs w:val="24"/>
          <w:lang w:bidi="hi-IN"/>
        </w:rPr>
        <w:tab/>
      </w:r>
      <w:r>
        <w:rPr>
          <w:rStyle w:val="Forte1"/>
          <w:rFonts w:eastAsia="SimSun" w:cs="Arial" w:ascii="Arial" w:hAnsi="Arial"/>
          <w:b w:val="false"/>
          <w:bCs/>
          <w:i w:val="false"/>
          <w:caps w:val="false"/>
          <w:smallCaps w:val="false"/>
          <w:color w:val="000000"/>
          <w:spacing w:val="0"/>
          <w:sz w:val="24"/>
          <w:szCs w:val="24"/>
          <w:lang w:val="pt-BR" w:eastAsia="zh-CN" w:bidi="hi-IN"/>
        </w:rPr>
        <w:t xml:space="preserve">O usuário poderá ser transferido para outra referência nos casos de mudança de domicílio ou em casos de doença que impossibilitem o deslocamento do usuário, mediante atestado médico. </w:t>
      </w:r>
    </w:p>
    <w:p>
      <w:pPr>
        <w:pStyle w:val="Normal"/>
        <w:widowControl/>
        <w:bidi w:val="0"/>
        <w:spacing w:lineRule="auto" w:line="360"/>
        <w:ind w:left="0" w:right="0" w:hanging="0"/>
        <w:jc w:val="both"/>
        <w:rPr>
          <w:rFonts w:ascii="Arial" w:hAnsi="Arial"/>
          <w:sz w:val="24"/>
          <w:szCs w:val="24"/>
        </w:rPr>
      </w:pPr>
      <w:r>
        <w:rPr>
          <w:rStyle w:val="Forte1"/>
          <w:rFonts w:eastAsia="SimSun" w:cs="Arial" w:ascii="Arial" w:hAnsi="Arial"/>
          <w:b w:val="false"/>
          <w:bCs/>
          <w:i w:val="false"/>
          <w:caps w:val="false"/>
          <w:smallCaps w:val="false"/>
          <w:color w:val="000000"/>
          <w:spacing w:val="0"/>
          <w:sz w:val="24"/>
          <w:szCs w:val="24"/>
          <w:lang w:val="pt-BR" w:eastAsia="zh-CN" w:bidi="hi-IN"/>
        </w:rPr>
        <w:tab/>
        <w:t>O usuário que necessitar de transferência para outra referência deverá encaminhar a documentação (cópia de RG, CPF, comprovante de residência, cartão nacional de saúde, cópia do prontuário do prestador e encaminhamento de transferência – Anexo III da Deliberação xx/CIB/2017) para a Secretaria Municipal de Saúde. A SMS encaminhará para a Regional e esta para o Gestor do SASA. O Gestor informa a Secretaria de Estado da Saúde, por meio de ofício, para que possa fazer a alteração no Sistema de Prontuário Eletrônico. A SES informará ambos os prestadores sobre a transferência do paciente.</w:t>
      </w:r>
    </w:p>
    <w:p>
      <w:pPr>
        <w:pStyle w:val="Ttulo3"/>
        <w:numPr>
          <w:ilvl w:val="2"/>
          <w:numId w:val="2"/>
        </w:numPr>
        <w:rPr>
          <w:rStyle w:val="Forte1"/>
          <w:rFonts w:eastAsia="SimSun"/>
          <w:lang w:bidi="hi-IN"/>
        </w:rPr>
      </w:pPr>
      <w:r>
        <w:rPr>
          <w:rFonts w:eastAsia="SimSun"/>
          <w:lang w:bidi="hi-IN"/>
        </w:rPr>
      </w:r>
    </w:p>
    <w:p>
      <w:pPr>
        <w:pStyle w:val="Ttulo3"/>
        <w:numPr>
          <w:ilvl w:val="2"/>
          <w:numId w:val="3"/>
        </w:numPr>
        <w:rPr/>
      </w:pPr>
      <w:r>
        <w:rPr>
          <w:rStyle w:val="Forte1"/>
          <w:rFonts w:eastAsia="SimSun"/>
          <w:lang w:bidi="hi-IN"/>
        </w:rPr>
        <w:t xml:space="preserve">6.2.9 </w:t>
      </w:r>
      <w:r>
        <w:rPr>
          <w:rStyle w:val="Forte1"/>
        </w:rPr>
        <w:t>Terapia Fonoaudiológica</w:t>
      </w:r>
    </w:p>
    <w:p>
      <w:pPr>
        <w:pStyle w:val="Corpodetexto"/>
        <w:rPr/>
      </w:pPr>
      <w:r>
        <w:rPr/>
      </w:r>
    </w:p>
    <w:p>
      <w:pPr>
        <w:pStyle w:val="Normal"/>
        <w:spacing w:lineRule="auto" w:line="360" w:before="120" w:after="120"/>
        <w:ind w:firstLine="567"/>
        <w:jc w:val="both"/>
        <w:rPr>
          <w:rFonts w:ascii="Arial" w:hAnsi="Arial" w:eastAsia="SimSun" w:cs="Arial"/>
          <w:b/>
          <w:b/>
          <w:bCs/>
          <w:sz w:val="24"/>
          <w:szCs w:val="24"/>
          <w:lang w:bidi="hi-IN"/>
        </w:rPr>
      </w:pPr>
      <w:r>
        <w:rPr>
          <w:rFonts w:cs="Arial" w:ascii="Arial" w:hAnsi="Arial"/>
          <w:sz w:val="24"/>
          <w:szCs w:val="24"/>
        </w:rPr>
        <w:t xml:space="preserve">Os critérios para a terapia fonoaudiológica a ser realizada </w:t>
      </w:r>
      <w:r>
        <w:rPr>
          <w:rFonts w:cs="Arial" w:ascii="Arial" w:hAnsi="Arial"/>
          <w:color w:val="00000A"/>
          <w:sz w:val="24"/>
          <w:szCs w:val="24"/>
        </w:rPr>
        <w:t xml:space="preserve">preferencialmente nos prestadores do Serviço Ambulatorial de Saúde Auditiva </w:t>
      </w:r>
      <w:r>
        <w:rPr>
          <w:rFonts w:cs="Arial" w:ascii="Arial" w:hAnsi="Arial"/>
          <w:sz w:val="24"/>
          <w:szCs w:val="24"/>
        </w:rPr>
        <w:t>estão em consonância com Instrutivos de Reabilitação auditiva, física, intelectual e visual (2013) e com critérios científicos (TEIXEIRA, 2007) de acordo com a faixa etária, conforme especificado a seguir:</w:t>
      </w:r>
    </w:p>
    <w:p>
      <w:pPr>
        <w:pStyle w:val="PargrafodaLista1"/>
        <w:numPr>
          <w:ilvl w:val="0"/>
          <w:numId w:val="28"/>
        </w:numPr>
        <w:spacing w:lineRule="auto" w:line="360" w:before="120" w:after="120"/>
        <w:ind w:left="1134" w:hanging="567"/>
        <w:jc w:val="both"/>
        <w:rPr>
          <w:rFonts w:ascii="Arial" w:hAnsi="Arial" w:eastAsia="SimSun" w:cs="Arial"/>
          <w:b/>
          <w:b/>
          <w:bCs/>
          <w:sz w:val="24"/>
          <w:szCs w:val="24"/>
          <w:lang w:bidi="hi-IN"/>
        </w:rPr>
      </w:pPr>
      <w:r>
        <w:rPr>
          <w:rFonts w:eastAsia="SimSun" w:cs="Arial" w:ascii="Arial" w:hAnsi="Arial"/>
          <w:b/>
          <w:bCs/>
          <w:sz w:val="24"/>
          <w:szCs w:val="24"/>
          <w:lang w:bidi="hi-IN"/>
        </w:rPr>
        <w:t xml:space="preserve">Criança (0 a 12 anos): </w:t>
      </w:r>
      <w:r>
        <w:rPr>
          <w:rFonts w:eastAsia="SimSun" w:cs="Arial" w:ascii="Arial" w:hAnsi="Arial"/>
          <w:sz w:val="24"/>
          <w:szCs w:val="24"/>
          <w:lang w:bidi="hi-IN"/>
        </w:rPr>
        <w:t>mínimo de 16</w:t>
      </w:r>
      <w:r>
        <w:rPr>
          <w:rFonts w:eastAsia="SimSun" w:cs="Arial" w:ascii="Arial" w:hAnsi="Arial"/>
          <w:bCs/>
          <w:sz w:val="24"/>
          <w:szCs w:val="24"/>
          <w:lang w:bidi="hi-IN"/>
        </w:rPr>
        <w:t xml:space="preserve"> sessões de terapia fonoaudiológica, de 30 a 45 minutos, sendo atendimento individual ou em grupo de acordo com a avaliação da equipe do serviço.</w:t>
      </w:r>
      <w:r>
        <w:rPr>
          <w:rFonts w:eastAsia="SimSun" w:cs="Arial" w:ascii="Arial" w:hAnsi="Arial"/>
          <w:b/>
          <w:bCs/>
          <w:sz w:val="24"/>
          <w:szCs w:val="24"/>
          <w:lang w:bidi="hi-IN"/>
        </w:rPr>
        <w:t xml:space="preserve"> </w:t>
      </w:r>
      <w:r>
        <w:rPr>
          <w:rFonts w:eastAsia="SimSun" w:cs="Arial" w:ascii="Arial" w:hAnsi="Arial"/>
          <w:sz w:val="24"/>
          <w:szCs w:val="24"/>
          <w:shd w:fill="FFFFFF" w:val="clear"/>
          <w:lang w:bidi="hi-IN"/>
        </w:rPr>
        <w:t>Sugere-se o atendimento semanal.</w:t>
      </w:r>
    </w:p>
    <w:p>
      <w:pPr>
        <w:pStyle w:val="PargrafodaLista1"/>
        <w:numPr>
          <w:ilvl w:val="0"/>
          <w:numId w:val="28"/>
        </w:numPr>
        <w:tabs>
          <w:tab w:val="left" w:pos="4417" w:leader="none"/>
        </w:tabs>
        <w:spacing w:lineRule="auto" w:line="360" w:before="120" w:after="120"/>
        <w:ind w:left="1134" w:hanging="567"/>
        <w:jc w:val="both"/>
        <w:rPr>
          <w:rFonts w:ascii="Arial" w:hAnsi="Arial" w:eastAsia="SimSun" w:cs="Arial"/>
          <w:b/>
          <w:b/>
          <w:bCs/>
          <w:sz w:val="24"/>
          <w:szCs w:val="24"/>
          <w:lang w:bidi="hi-IN"/>
        </w:rPr>
      </w:pPr>
      <w:r>
        <w:rPr>
          <w:rFonts w:eastAsia="SimSun" w:cs="Arial" w:ascii="Arial" w:hAnsi="Arial"/>
          <w:b/>
          <w:bCs/>
          <w:sz w:val="24"/>
          <w:szCs w:val="24"/>
          <w:lang w:bidi="hi-IN"/>
        </w:rPr>
        <w:t xml:space="preserve">Adolescente (a partir de 13 anos) e adulto: </w:t>
      </w:r>
      <w:r>
        <w:rPr>
          <w:rFonts w:eastAsia="SimSun" w:cs="Arial" w:ascii="Arial" w:hAnsi="Arial"/>
          <w:sz w:val="24"/>
          <w:szCs w:val="24"/>
          <w:lang w:bidi="hi-IN"/>
        </w:rPr>
        <w:t xml:space="preserve">mínimo de quatro </w:t>
      </w:r>
      <w:r>
        <w:rPr>
          <w:rFonts w:eastAsia="SimSun" w:cs="Arial" w:ascii="Arial" w:hAnsi="Arial"/>
          <w:bCs/>
          <w:sz w:val="24"/>
          <w:szCs w:val="24"/>
          <w:lang w:bidi="hi-IN"/>
        </w:rPr>
        <w:t>sessões de terapia fonoaudiológica, de 30 a 45 minutos, sendo atendimento individual ou em grupo de acordo com a avaliação da equipe do serviço</w:t>
      </w:r>
      <w:r>
        <w:rPr>
          <w:rFonts w:eastAsia="SimSun" w:cs="Arial" w:ascii="Arial" w:hAnsi="Arial"/>
          <w:bCs/>
          <w:sz w:val="24"/>
          <w:szCs w:val="24"/>
          <w:shd w:fill="FFFFFF" w:val="clear"/>
          <w:lang w:bidi="hi-IN"/>
        </w:rPr>
        <w:t>.</w:t>
      </w:r>
      <w:r>
        <w:rPr>
          <w:rFonts w:eastAsia="SimSun" w:cs="Arial" w:ascii="Arial" w:hAnsi="Arial"/>
          <w:b/>
          <w:bCs/>
          <w:sz w:val="24"/>
          <w:szCs w:val="24"/>
          <w:shd w:fill="FFFFFF" w:val="clear"/>
          <w:lang w:bidi="hi-IN"/>
        </w:rPr>
        <w:t xml:space="preserve"> </w:t>
      </w:r>
      <w:r>
        <w:rPr>
          <w:rFonts w:eastAsia="SimSun" w:cs="Arial" w:ascii="Arial" w:hAnsi="Arial"/>
          <w:sz w:val="24"/>
          <w:szCs w:val="24"/>
          <w:shd w:fill="FFFFFF" w:val="clear"/>
          <w:lang w:bidi="hi-IN"/>
        </w:rPr>
        <w:t>Sugere-se o atendimento semanal.</w:t>
      </w:r>
    </w:p>
    <w:p>
      <w:pPr>
        <w:pStyle w:val="PargrafodaLista1"/>
        <w:numPr>
          <w:ilvl w:val="0"/>
          <w:numId w:val="28"/>
        </w:numPr>
        <w:tabs>
          <w:tab w:val="left" w:pos="4417" w:leader="none"/>
        </w:tabs>
        <w:spacing w:lineRule="auto" w:line="360" w:before="120" w:after="120"/>
        <w:ind w:left="1134" w:hanging="567"/>
        <w:jc w:val="both"/>
        <w:rPr>
          <w:rFonts w:ascii="Arial" w:hAnsi="Arial" w:eastAsia="SimSun" w:cs="Arial"/>
          <w:b/>
          <w:b/>
          <w:bCs/>
          <w:sz w:val="24"/>
          <w:szCs w:val="24"/>
          <w:lang w:bidi="hi-IN"/>
        </w:rPr>
      </w:pPr>
      <w:r>
        <w:rPr>
          <w:rFonts w:eastAsia="SimSun" w:cs="Arial" w:ascii="Arial" w:hAnsi="Arial"/>
          <w:b/>
          <w:bCs/>
          <w:sz w:val="24"/>
          <w:szCs w:val="24"/>
          <w:lang w:bidi="hi-IN"/>
        </w:rPr>
        <w:t xml:space="preserve">Idoso: </w:t>
      </w:r>
      <w:r>
        <w:rPr>
          <w:rFonts w:eastAsia="SimSun" w:cs="Arial" w:ascii="Arial" w:hAnsi="Arial"/>
          <w:sz w:val="24"/>
          <w:szCs w:val="24"/>
          <w:lang w:bidi="hi-IN"/>
        </w:rPr>
        <w:t xml:space="preserve">mínimo de seis sessões de terapia fonoaudiológica, de 30 a 45 minutos, sendo atendimento individual ou em grupo de acordo com a avaliação da equipe do serviço. </w:t>
      </w:r>
      <w:r>
        <w:rPr>
          <w:rFonts w:eastAsia="SimSun" w:cs="Arial" w:ascii="Arial" w:hAnsi="Arial"/>
          <w:sz w:val="24"/>
          <w:szCs w:val="24"/>
          <w:shd w:fill="FFFFFF" w:val="clear"/>
          <w:lang w:bidi="hi-IN"/>
        </w:rPr>
        <w:t>Sugere-se o atendimento semanal.</w:t>
      </w:r>
    </w:p>
    <w:p>
      <w:pPr>
        <w:pStyle w:val="PargrafodaLista1"/>
        <w:spacing w:lineRule="auto" w:line="360" w:before="120" w:after="120"/>
        <w:ind w:left="567" w:hanging="0"/>
        <w:jc w:val="both"/>
        <w:rPr/>
      </w:pPr>
      <w:r>
        <w:rPr/>
      </w:r>
    </w:p>
    <w:p>
      <w:pPr>
        <w:pStyle w:val="Normal"/>
        <w:spacing w:lineRule="auto" w:line="360" w:before="120" w:after="120"/>
        <w:ind w:firstLine="567"/>
        <w:jc w:val="both"/>
        <w:textAlignment w:val="auto"/>
        <w:rPr>
          <w:rFonts w:ascii="Arial" w:hAnsi="Arial" w:eastAsia="SimSun" w:cs="Arial"/>
          <w:sz w:val="24"/>
          <w:szCs w:val="24"/>
          <w:lang w:bidi="hi-IN"/>
        </w:rPr>
      </w:pPr>
      <w:r>
        <w:rPr>
          <w:rFonts w:eastAsia="SimSun" w:cs="Arial" w:ascii="Arial" w:hAnsi="Arial"/>
          <w:bCs/>
          <w:sz w:val="24"/>
          <w:szCs w:val="24"/>
          <w:lang w:bidi="hi-IN"/>
        </w:rPr>
        <w:t xml:space="preserve">A avaliação e o processo de reabilitação em relação aos aspectos auditivos e de linguagem devem ser registrados no prontuário do usuário informando sobre sua evolução. Assim como todos os demais procedimentos de avaliação, seleção, adaptação, incluindo as orientações de uso e manuseio do AASI deverão ser realizados </w:t>
      </w:r>
      <w:r>
        <w:rPr>
          <w:rFonts w:eastAsia="SimSun" w:cs="Arial" w:ascii="Arial" w:hAnsi="Arial"/>
          <w:bCs/>
          <w:sz w:val="24"/>
          <w:szCs w:val="24"/>
          <w:shd w:fill="FFFFFF" w:val="clear"/>
          <w:lang w:bidi="hi-IN"/>
        </w:rPr>
        <w:t xml:space="preserve">exclusivamente </w:t>
      </w:r>
      <w:r>
        <w:rPr>
          <w:rFonts w:eastAsia="SimSun" w:cs="Arial" w:ascii="Arial" w:hAnsi="Arial"/>
          <w:sz w:val="24"/>
          <w:szCs w:val="24"/>
          <w:lang w:bidi="hi-IN"/>
        </w:rPr>
        <w:t>pelos profissionais cadastrados no CNES do prestador do Serviço Ambulatorial de Saúde Auditiva.</w:t>
      </w:r>
    </w:p>
    <w:p>
      <w:pPr>
        <w:pStyle w:val="Normal"/>
        <w:spacing w:lineRule="auto" w:line="360" w:before="120" w:after="120"/>
        <w:ind w:firstLine="567"/>
        <w:jc w:val="both"/>
        <w:textAlignment w:val="auto"/>
        <w:rPr>
          <w:rFonts w:ascii="Arial" w:hAnsi="Arial" w:cs="Arial"/>
          <w:sz w:val="24"/>
          <w:szCs w:val="24"/>
        </w:rPr>
      </w:pPr>
      <w:r>
        <w:rPr>
          <w:rFonts w:eastAsia="SimSun" w:cs="Arial" w:ascii="Arial" w:hAnsi="Arial"/>
          <w:sz w:val="24"/>
          <w:szCs w:val="24"/>
          <w:lang w:bidi="hi-IN"/>
        </w:rPr>
        <w:t>Após o término da quantidade indicada de sessões de terapia fonoaudiológica realizada pelo fonoaudiólogo do Serviço Ambulatorial de Saúde Auditiva, o usuário poderá ser contrarreferenciado para continuidade da referida terapia na atenção básica.</w:t>
      </w:r>
    </w:p>
    <w:p>
      <w:pPr>
        <w:pStyle w:val="Normal"/>
        <w:spacing w:lineRule="auto" w:line="360" w:before="120" w:after="120"/>
        <w:ind w:firstLine="567"/>
        <w:jc w:val="both"/>
        <w:textAlignment w:val="auto"/>
        <w:rPr>
          <w:rFonts w:ascii="Arial" w:hAnsi="Arial" w:cs="Arial"/>
          <w:sz w:val="24"/>
          <w:szCs w:val="24"/>
        </w:rPr>
      </w:pPr>
      <w:r>
        <w:rPr>
          <w:rFonts w:cs="Arial" w:ascii="Arial" w:hAnsi="Arial"/>
          <w:sz w:val="24"/>
          <w:szCs w:val="24"/>
        </w:rPr>
      </w:r>
    </w:p>
    <w:p>
      <w:pPr>
        <w:pStyle w:val="Ttulo3"/>
        <w:numPr>
          <w:ilvl w:val="2"/>
          <w:numId w:val="3"/>
        </w:numPr>
        <w:rPr/>
      </w:pPr>
      <w:bookmarkStart w:id="54" w:name="_Toc434344433"/>
      <w:bookmarkStart w:id="55" w:name="_Toc434148351"/>
      <w:bookmarkEnd w:id="54"/>
      <w:bookmarkEnd w:id="55"/>
      <w:r>
        <w:rPr>
          <w:rStyle w:val="Forte1"/>
        </w:rPr>
        <w:t>6.2.10 Sistema FM</w:t>
      </w:r>
    </w:p>
    <w:p>
      <w:pPr>
        <w:pStyle w:val="Corpodetexto"/>
        <w:rPr>
          <w:rFonts w:eastAsia="SimSun"/>
        </w:rPr>
      </w:pPr>
      <w:r>
        <w:rPr>
          <w:rFonts w:eastAsia="SimSun"/>
        </w:rPr>
      </w:r>
    </w:p>
    <w:p>
      <w:pPr>
        <w:pStyle w:val="Normal"/>
        <w:spacing w:lineRule="auto" w:line="360" w:before="120" w:after="120"/>
        <w:ind w:firstLine="567"/>
        <w:jc w:val="both"/>
        <w:textAlignment w:val="auto"/>
        <w:rPr>
          <w:rFonts w:ascii="Arial" w:hAnsi="Arial" w:eastAsia="SimSun" w:cs="Arial"/>
          <w:bCs/>
          <w:sz w:val="24"/>
          <w:szCs w:val="24"/>
          <w:lang w:bidi="hi-IN"/>
        </w:rPr>
      </w:pPr>
      <w:r>
        <w:rPr>
          <w:rFonts w:eastAsia="SimSun" w:cs="Arial" w:ascii="Arial" w:hAnsi="Arial"/>
          <w:bCs/>
          <w:sz w:val="24"/>
          <w:szCs w:val="24"/>
          <w:lang w:bidi="hi-IN"/>
        </w:rPr>
        <w:t>A Portaria nº 1.274 de 25 de junho de 2013, incluiu o procedimento de sistema de Frequência Modulada pessoal (FM) na Tabela de Procedimentos, Medicamentos, Órteses e Próteses e Materiais Especiais (OPM) do Sistema Único de Saúde.</w:t>
      </w:r>
    </w:p>
    <w:p>
      <w:pPr>
        <w:pStyle w:val="Normal"/>
        <w:spacing w:lineRule="auto" w:line="360" w:before="120" w:after="120"/>
        <w:ind w:firstLine="567"/>
        <w:jc w:val="both"/>
        <w:textAlignment w:val="auto"/>
        <w:rPr>
          <w:rFonts w:ascii="Arial" w:hAnsi="Arial" w:eastAsia="SimSun" w:cs="Arial"/>
          <w:bCs/>
          <w:sz w:val="24"/>
          <w:szCs w:val="24"/>
          <w:lang w:bidi="hi-IN"/>
        </w:rPr>
      </w:pPr>
      <w:r>
        <w:rPr>
          <w:rFonts w:eastAsia="SimSun" w:cs="Arial" w:ascii="Arial" w:hAnsi="Arial"/>
          <w:bCs/>
          <w:sz w:val="24"/>
          <w:szCs w:val="24"/>
          <w:lang w:bidi="hi-IN"/>
        </w:rPr>
      </w:r>
    </w:p>
    <w:p>
      <w:pPr>
        <w:pStyle w:val="Normal"/>
        <w:spacing w:lineRule="auto" w:line="360" w:before="120" w:after="120"/>
        <w:jc w:val="both"/>
        <w:textAlignment w:val="auto"/>
        <w:rPr>
          <w:rFonts w:ascii="Arial" w:hAnsi="Arial" w:eastAsia="SimSun" w:cs="Arial"/>
          <w:bCs/>
          <w:sz w:val="24"/>
          <w:szCs w:val="24"/>
          <w:lang w:bidi="hi-IN"/>
        </w:rPr>
      </w:pPr>
      <w:r>
        <w:rPr>
          <w:rFonts w:eastAsia="SimSun" w:cs="Arial" w:ascii="Arial" w:hAnsi="Arial"/>
          <w:b/>
          <w:bCs/>
          <w:sz w:val="24"/>
          <w:szCs w:val="24"/>
          <w:lang w:bidi="hi-IN"/>
        </w:rPr>
        <w:t>Normas para prescrição de sistema de Frequência Modulada pessoal (FM)</w:t>
      </w:r>
    </w:p>
    <w:p>
      <w:pPr>
        <w:pStyle w:val="Corpodetexto"/>
        <w:widowControl/>
        <w:spacing w:lineRule="auto" w:line="360" w:before="120" w:after="120"/>
        <w:ind w:firstLine="567"/>
        <w:jc w:val="both"/>
        <w:rPr>
          <w:rFonts w:ascii="Arial" w:hAnsi="Arial" w:eastAsia="SimSun" w:cs="Arial"/>
          <w:bCs/>
          <w:sz w:val="24"/>
          <w:szCs w:val="24"/>
          <w:highlight w:val="white"/>
          <w:lang w:bidi="hi-IN"/>
        </w:rPr>
      </w:pPr>
      <w:r>
        <w:rPr>
          <w:rFonts w:eastAsia="SimSun" w:cs="Arial" w:ascii="Arial" w:hAnsi="Arial"/>
          <w:bCs/>
          <w:sz w:val="24"/>
          <w:szCs w:val="24"/>
          <w:lang w:bidi="hi-IN"/>
        </w:rPr>
        <w:t>A dispensação do sistema de Frequência Modulada pessoal (FM) deverá ser indicada após avaliação completa por profissionais capacitados, conforme definidos na Portaria nº 1.274 de 25 de jun</w:t>
      </w:r>
      <w:r>
        <w:rPr>
          <w:rFonts w:eastAsia="SimSun" w:cs="Arial" w:ascii="Arial" w:hAnsi="Arial"/>
          <w:bCs/>
          <w:sz w:val="24"/>
          <w:szCs w:val="24"/>
          <w:shd w:fill="FFFFFF" w:val="clear"/>
          <w:lang w:bidi="hi-IN"/>
        </w:rPr>
        <w:t>ho de 2013. Estas prescrições deverão seguir critérios e normas que determinem sua indicação segura.</w:t>
      </w:r>
    </w:p>
    <w:p>
      <w:pPr>
        <w:pStyle w:val="Corpodetexto"/>
        <w:widowControl/>
        <w:spacing w:lineRule="auto" w:line="360" w:before="120" w:after="120"/>
        <w:ind w:firstLine="567"/>
        <w:jc w:val="both"/>
        <w:rPr>
          <w:rFonts w:ascii="Arial" w:hAnsi="Arial" w:eastAsia="SimSun" w:cs="Arial"/>
          <w:bCs/>
          <w:sz w:val="24"/>
          <w:szCs w:val="24"/>
          <w:lang w:bidi="hi-IN"/>
        </w:rPr>
      </w:pPr>
      <w:r>
        <w:rPr>
          <w:rFonts w:eastAsia="SimSun" w:cs="Arial" w:ascii="Arial" w:hAnsi="Arial"/>
          <w:bCs/>
          <w:sz w:val="24"/>
          <w:szCs w:val="24"/>
          <w:shd w:fill="FFFFFF" w:val="clear"/>
          <w:lang w:bidi="hi-IN"/>
        </w:rPr>
        <w:t>O prestador do Serviço Ambulatorial de Saúde Auditiva é o responsável pela concessão do Sistema FM.</w:t>
      </w:r>
    </w:p>
    <w:p>
      <w:pPr>
        <w:pStyle w:val="Corpodetexto"/>
        <w:widowControl/>
        <w:spacing w:lineRule="auto" w:line="360" w:before="120" w:after="120"/>
        <w:ind w:firstLine="567"/>
        <w:jc w:val="both"/>
        <w:rPr>
          <w:rFonts w:ascii="Arial" w:hAnsi="Arial" w:eastAsia="SimSun" w:cs="Arial"/>
          <w:sz w:val="24"/>
          <w:szCs w:val="24"/>
          <w:lang w:bidi="hi-IN"/>
        </w:rPr>
      </w:pPr>
      <w:r>
        <w:rPr>
          <w:rFonts w:eastAsia="SimSun" w:cs="Arial" w:ascii="Arial" w:hAnsi="Arial"/>
          <w:bCs/>
          <w:sz w:val="24"/>
          <w:szCs w:val="24"/>
          <w:lang w:bidi="hi-IN"/>
        </w:rPr>
        <w:t>O gestor Municipal e/ou Estadual deverá exigir a documentação que comprove a indicação e as habilidades necessárias para utilização do Sistema FM, as quais deverão estar claramente expostas na justificativa do laudo/relatório clínico contendo dados do paciente e da avaliação multidisciplinar com diagnóstico e histórico da evolução da deficiência auditiva.</w:t>
      </w:r>
    </w:p>
    <w:p>
      <w:pPr>
        <w:pStyle w:val="Corpodetexto"/>
        <w:widowControl/>
        <w:spacing w:lineRule="auto" w:line="360" w:before="120" w:after="120"/>
        <w:ind w:firstLine="567"/>
        <w:jc w:val="both"/>
        <w:rPr>
          <w:rFonts w:ascii="Arial" w:hAnsi="Arial" w:eastAsia="SimSun" w:cs="Arial"/>
          <w:bCs/>
          <w:sz w:val="24"/>
          <w:szCs w:val="24"/>
          <w:lang w:bidi="hi-IN"/>
        </w:rPr>
      </w:pPr>
      <w:r>
        <w:rPr>
          <w:rFonts w:eastAsia="SimSun" w:cs="Arial" w:ascii="Arial" w:hAnsi="Arial"/>
          <w:sz w:val="24"/>
          <w:szCs w:val="24"/>
          <w:lang w:bidi="hi-IN"/>
        </w:rPr>
        <w:t>A prescrição do Kit de Sistema FM à criança e/ou jovem com deficiência auditiva deverá seguir os seguintes critérios:</w:t>
      </w:r>
    </w:p>
    <w:p>
      <w:pPr>
        <w:pStyle w:val="Corpodetexto"/>
        <w:widowControl/>
        <w:numPr>
          <w:ilvl w:val="0"/>
          <w:numId w:val="29"/>
        </w:numPr>
        <w:spacing w:lineRule="auto" w:line="360" w:before="120" w:after="120"/>
        <w:ind w:left="1134" w:hanging="567"/>
        <w:jc w:val="both"/>
        <w:rPr>
          <w:rFonts w:ascii="Arial" w:hAnsi="Arial" w:eastAsia="SimSun" w:cs="Arial"/>
          <w:bCs/>
          <w:sz w:val="24"/>
          <w:szCs w:val="24"/>
          <w:lang w:bidi="hi-IN"/>
        </w:rPr>
      </w:pPr>
      <w:r>
        <w:rPr>
          <w:rFonts w:eastAsia="SimSun" w:cs="Arial" w:ascii="Arial" w:hAnsi="Arial"/>
          <w:bCs/>
          <w:sz w:val="24"/>
          <w:szCs w:val="24"/>
          <w:lang w:bidi="hi-IN"/>
        </w:rPr>
        <w:t>possuir deficiência auditiva e ser usuário de Aparelho de Amplificação Sonora Individual (AASI) e/ou implante coclear (IC);</w:t>
      </w:r>
    </w:p>
    <w:p>
      <w:pPr>
        <w:pStyle w:val="Corpodetexto"/>
        <w:widowControl/>
        <w:numPr>
          <w:ilvl w:val="0"/>
          <w:numId w:val="29"/>
        </w:numPr>
        <w:spacing w:lineRule="auto" w:line="360" w:before="120" w:after="120"/>
        <w:ind w:left="1134" w:hanging="567"/>
        <w:jc w:val="both"/>
        <w:rPr>
          <w:rFonts w:ascii="Arial" w:hAnsi="Arial" w:eastAsia="SimSun" w:cs="Arial"/>
          <w:bCs/>
          <w:sz w:val="24"/>
          <w:szCs w:val="24"/>
          <w:lang w:bidi="hi-IN"/>
        </w:rPr>
      </w:pPr>
      <w:r>
        <w:rPr>
          <w:rFonts w:eastAsia="SimSun" w:cs="Arial" w:ascii="Arial" w:hAnsi="Arial"/>
          <w:bCs/>
          <w:sz w:val="24"/>
          <w:szCs w:val="24"/>
          <w:lang w:bidi="hi-IN"/>
        </w:rPr>
        <w:t>possuir domínio da linguagem oral ou em fase de desenvolvimento;</w:t>
      </w:r>
    </w:p>
    <w:p>
      <w:pPr>
        <w:pStyle w:val="Corpodetexto"/>
        <w:widowControl/>
        <w:numPr>
          <w:ilvl w:val="0"/>
          <w:numId w:val="29"/>
        </w:numPr>
        <w:spacing w:lineRule="auto" w:line="360" w:before="120" w:after="120"/>
        <w:ind w:left="1134" w:hanging="567"/>
        <w:jc w:val="both"/>
        <w:rPr>
          <w:rFonts w:ascii="Arial" w:hAnsi="Arial" w:eastAsia="SimSun" w:cs="Arial"/>
          <w:bCs/>
          <w:sz w:val="24"/>
          <w:szCs w:val="24"/>
          <w:lang w:bidi="hi-IN"/>
        </w:rPr>
      </w:pPr>
      <w:r>
        <w:rPr>
          <w:rFonts w:eastAsia="SimSun" w:cs="Arial" w:ascii="Arial" w:hAnsi="Arial"/>
          <w:bCs/>
          <w:sz w:val="24"/>
          <w:szCs w:val="24"/>
          <w:lang w:bidi="hi-IN"/>
        </w:rPr>
        <w:t>estar matriculado no Ensino Fundamental I ou II e/ou Ensino Médio; e</w:t>
      </w:r>
    </w:p>
    <w:p>
      <w:pPr>
        <w:pStyle w:val="Corpodetexto"/>
        <w:widowControl/>
        <w:numPr>
          <w:ilvl w:val="0"/>
          <w:numId w:val="29"/>
        </w:numPr>
        <w:spacing w:lineRule="auto" w:line="360" w:before="120" w:after="120"/>
        <w:ind w:left="1134" w:hanging="567"/>
        <w:jc w:val="both"/>
        <w:rPr>
          <w:rFonts w:ascii="Arial" w:hAnsi="Arial" w:cs="Arial"/>
          <w:sz w:val="24"/>
          <w:szCs w:val="24"/>
        </w:rPr>
      </w:pPr>
      <w:r>
        <w:rPr>
          <w:rFonts w:eastAsia="SimSun" w:cs="Arial" w:ascii="Arial" w:hAnsi="Arial"/>
          <w:bCs/>
          <w:sz w:val="24"/>
          <w:szCs w:val="24"/>
          <w:lang w:bidi="hi-IN"/>
        </w:rPr>
        <w:t>apresentar desempenho em avaliação de habilidades de reconhecimento de fala no silêncio. Sugere-se, quando possível, IPRF (Índice Percentual de Reconhecimento de Fala) melhor que 30%, na situação de silêncio. Em caso de crianças em fase de desenvolvimento de linguagem oral, quando não for possível a realização do IPRF, ou a utilização de testes com palavras devido à idade, deve ser considerado o Limiar de Detecção de Voz (LDV) igual ou inferior a 40 (com AASI ou IC).</w:t>
      </w:r>
    </w:p>
    <w:p>
      <w:pPr>
        <w:pStyle w:val="Corpodetexto"/>
        <w:widowControl/>
        <w:spacing w:lineRule="auto" w:line="360" w:before="120" w:after="120"/>
        <w:ind w:left="1437" w:hanging="0"/>
        <w:jc w:val="both"/>
        <w:rPr>
          <w:rFonts w:ascii="Arial" w:hAnsi="Arial" w:cs="Arial"/>
          <w:sz w:val="24"/>
          <w:szCs w:val="24"/>
        </w:rPr>
      </w:pPr>
      <w:r>
        <w:rPr>
          <w:rFonts w:cs="Arial" w:ascii="Arial" w:hAnsi="Arial"/>
          <w:sz w:val="24"/>
          <w:szCs w:val="24"/>
        </w:rPr>
      </w:r>
    </w:p>
    <w:p>
      <w:pPr>
        <w:pStyle w:val="Corpodetexto"/>
        <w:widowControl/>
        <w:spacing w:lineRule="auto" w:line="360" w:before="120" w:after="120"/>
        <w:jc w:val="both"/>
        <w:rPr>
          <w:rFonts w:ascii="Arial" w:hAnsi="Arial" w:eastAsia="SimSun" w:cs="Arial"/>
          <w:sz w:val="24"/>
          <w:szCs w:val="24"/>
          <w:lang w:bidi="hi-IN"/>
        </w:rPr>
      </w:pPr>
      <w:r>
        <w:rPr>
          <w:rFonts w:eastAsia="SimSun" w:cs="Arial" w:ascii="Arial" w:hAnsi="Arial"/>
          <w:b/>
          <w:bCs/>
          <w:sz w:val="24"/>
          <w:szCs w:val="24"/>
          <w:lang w:bidi="hi-IN"/>
        </w:rPr>
        <w:t>Tipo de Adaptação:</w:t>
      </w:r>
    </w:p>
    <w:p>
      <w:pPr>
        <w:pStyle w:val="Corpodetexto"/>
        <w:widowControl/>
        <w:numPr>
          <w:ilvl w:val="0"/>
          <w:numId w:val="30"/>
        </w:numPr>
        <w:spacing w:lineRule="auto" w:line="360" w:before="120" w:after="120"/>
        <w:ind w:left="1134" w:hanging="567"/>
        <w:jc w:val="both"/>
        <w:rPr>
          <w:rFonts w:ascii="Arial" w:hAnsi="Arial" w:eastAsia="SimSun" w:cs="Arial"/>
          <w:bCs/>
          <w:sz w:val="24"/>
          <w:szCs w:val="24"/>
          <w:lang w:bidi="hi-IN"/>
        </w:rPr>
      </w:pPr>
      <w:r>
        <w:rPr>
          <w:rFonts w:eastAsia="SimSun" w:cs="Arial" w:ascii="Arial" w:hAnsi="Arial"/>
          <w:bCs/>
          <w:sz w:val="24"/>
          <w:szCs w:val="24"/>
          <w:lang w:bidi="hi-IN"/>
        </w:rPr>
        <w:t>Todo estudante de ensino fundamental ou médio com deficiência auditiva, usuário de AASI e/ou IC bilateral, pode ser adaptado com o Sistema FM bilateral (um receptor para cada AASI e/ou IC)</w:t>
      </w:r>
    </w:p>
    <w:p>
      <w:pPr>
        <w:pStyle w:val="Corpodetexto"/>
        <w:widowControl/>
        <w:numPr>
          <w:ilvl w:val="0"/>
          <w:numId w:val="30"/>
        </w:numPr>
        <w:spacing w:lineRule="auto" w:line="360" w:before="120" w:after="120"/>
        <w:ind w:left="1134" w:hanging="567"/>
        <w:jc w:val="both"/>
        <w:rPr>
          <w:rFonts w:ascii="Arial" w:hAnsi="Arial" w:eastAsia="SimSun" w:cs="Arial"/>
          <w:bCs/>
          <w:sz w:val="24"/>
          <w:szCs w:val="24"/>
          <w:lang w:bidi="hi-IN"/>
        </w:rPr>
      </w:pPr>
      <w:r>
        <w:rPr>
          <w:rFonts w:eastAsia="SimSun" w:cs="Arial" w:ascii="Arial" w:hAnsi="Arial"/>
          <w:bCs/>
          <w:sz w:val="24"/>
          <w:szCs w:val="24"/>
          <w:lang w:bidi="hi-IN"/>
        </w:rPr>
        <w:t>A adaptação deve ocorrer preferencialmente através do recurso de entrada de áudio do AASI e/ou IC;</w:t>
      </w:r>
    </w:p>
    <w:p>
      <w:pPr>
        <w:pStyle w:val="Corpodetexto"/>
        <w:widowControl/>
        <w:numPr>
          <w:ilvl w:val="0"/>
          <w:numId w:val="30"/>
        </w:numPr>
        <w:spacing w:lineRule="auto" w:line="360" w:before="120" w:after="120"/>
        <w:ind w:left="1134" w:hanging="567"/>
        <w:jc w:val="both"/>
        <w:rPr>
          <w:rFonts w:ascii="Arial" w:hAnsi="Arial" w:eastAsia="SimSun" w:cs="Arial"/>
          <w:bCs/>
          <w:sz w:val="24"/>
          <w:szCs w:val="24"/>
          <w:lang w:bidi="hi-IN"/>
        </w:rPr>
      </w:pPr>
      <w:r>
        <w:rPr>
          <w:rFonts w:eastAsia="SimSun" w:cs="Arial" w:ascii="Arial" w:hAnsi="Arial"/>
          <w:bCs/>
          <w:sz w:val="24"/>
          <w:szCs w:val="24"/>
          <w:lang w:bidi="hi-IN"/>
        </w:rPr>
        <w:t>Na ausência do recurso de entrada de áudio no AASI e/ou IC deve ser considerada a adaptação via recurso de indução magnética (bobina telefônica) ou qualquer outro tipo de acessório sem fio do AASI que permita a conexão do Sistema FM;</w:t>
      </w:r>
    </w:p>
    <w:p>
      <w:pPr>
        <w:pStyle w:val="Corpodetexto"/>
        <w:widowControl/>
        <w:numPr>
          <w:ilvl w:val="0"/>
          <w:numId w:val="30"/>
        </w:numPr>
        <w:spacing w:lineRule="auto" w:line="360" w:before="120" w:after="120"/>
        <w:ind w:left="1134" w:hanging="567"/>
        <w:jc w:val="both"/>
        <w:rPr>
          <w:rFonts w:ascii="Arial" w:hAnsi="Arial" w:eastAsia="SimSun" w:cs="Arial"/>
          <w:bCs/>
          <w:sz w:val="24"/>
          <w:szCs w:val="24"/>
          <w:lang w:bidi="hi-IN"/>
        </w:rPr>
      </w:pPr>
      <w:r>
        <w:rPr>
          <w:rFonts w:eastAsia="SimSun" w:cs="Arial" w:ascii="Arial" w:hAnsi="Arial"/>
          <w:bCs/>
          <w:sz w:val="24"/>
          <w:szCs w:val="24"/>
          <w:lang w:bidi="hi-IN"/>
        </w:rPr>
        <w:t>O receptor deve ser adaptado ao nível da orelha, com exceção dos casos já mencionados no Item 3, cujo receptor é utilizado como um colar de pescoço; e</w:t>
      </w:r>
    </w:p>
    <w:p>
      <w:pPr>
        <w:pStyle w:val="Corpodetexto"/>
        <w:widowControl/>
        <w:numPr>
          <w:ilvl w:val="0"/>
          <w:numId w:val="30"/>
        </w:numPr>
        <w:spacing w:lineRule="auto" w:line="360" w:before="120" w:after="120"/>
        <w:ind w:left="1134" w:hanging="567"/>
        <w:jc w:val="both"/>
        <w:rPr>
          <w:rFonts w:ascii="Arial" w:hAnsi="Arial" w:eastAsia="SimSun" w:cs="Arial"/>
          <w:bCs/>
          <w:sz w:val="24"/>
          <w:szCs w:val="24"/>
          <w:lang w:bidi="hi-IN"/>
        </w:rPr>
      </w:pPr>
      <w:r>
        <w:rPr>
          <w:rFonts w:eastAsia="SimSun" w:cs="Arial" w:ascii="Arial" w:hAnsi="Arial"/>
          <w:bCs/>
          <w:sz w:val="24"/>
          <w:szCs w:val="24"/>
          <w:lang w:bidi="hi-IN"/>
        </w:rPr>
        <w:t>O microfone de lapela deve ser indicado, preferencialmente, possibilitando assim o Sistema FM ser utilizado por diferentes professores e em diferentes ambientes escolares.</w:t>
      </w:r>
    </w:p>
    <w:p>
      <w:pPr>
        <w:pStyle w:val="Corpodetexto"/>
        <w:widowControl/>
        <w:spacing w:lineRule="auto" w:line="360" w:before="120" w:after="120"/>
        <w:ind w:firstLine="567"/>
        <w:jc w:val="both"/>
        <w:rPr/>
      </w:pPr>
      <w:r>
        <w:rPr>
          <w:rFonts w:eastAsia="SimSun" w:cs="Arial" w:ascii="Arial" w:hAnsi="Arial"/>
          <w:bCs/>
          <w:sz w:val="24"/>
          <w:szCs w:val="24"/>
          <w:lang w:bidi="hi-IN"/>
        </w:rPr>
        <w:t>A principal indicação clínica para o uso do Sistema de Frequência Modulada Pessoal (FM) são casos de deficiência auditiva sensorioneural de grau leve, moderado, severo e profundo para estudantes matriculados no Ensino Fundamental I ou II e/ou Ensino Médio.</w:t>
      </w:r>
    </w:p>
    <w:p>
      <w:pPr>
        <w:pStyle w:val="Ttulo3"/>
        <w:numPr>
          <w:ilvl w:val="2"/>
          <w:numId w:val="3"/>
        </w:numPr>
        <w:rPr>
          <w:rStyle w:val="Forte1"/>
          <w:rFonts w:eastAsia="SimSun"/>
          <w:lang w:bidi="hi-IN"/>
        </w:rPr>
      </w:pPr>
      <w:r>
        <w:rPr>
          <w:rFonts w:eastAsia="SimSun"/>
          <w:lang w:bidi="hi-IN"/>
        </w:rPr>
      </w:r>
    </w:p>
    <w:p>
      <w:pPr>
        <w:pStyle w:val="Ttulo3"/>
        <w:numPr>
          <w:ilvl w:val="2"/>
          <w:numId w:val="3"/>
        </w:numPr>
        <w:rPr/>
      </w:pPr>
      <w:bookmarkStart w:id="56" w:name="_Toc434344434"/>
      <w:bookmarkStart w:id="57" w:name="_Toc434148352"/>
      <w:r>
        <w:rPr>
          <w:rStyle w:val="Forte1"/>
          <w:rFonts w:eastAsia="SimSun"/>
          <w:lang w:bidi="hi-IN"/>
        </w:rPr>
        <w:t xml:space="preserve">6.2.11 </w:t>
      </w:r>
      <w:bookmarkEnd w:id="56"/>
      <w:bookmarkEnd w:id="57"/>
      <w:r>
        <w:rPr>
          <w:rStyle w:val="Forte1"/>
        </w:rPr>
        <w:t>Fluxo do Serviço Ambulatorial de Saúde Auditiva</w:t>
      </w:r>
    </w:p>
    <w:p>
      <w:pPr>
        <w:pStyle w:val="Corpodetexto"/>
        <w:rPr/>
      </w:pPr>
      <w:r>
        <w:rPr/>
      </w:r>
    </w:p>
    <w:p>
      <w:pPr>
        <w:pStyle w:val="Normal"/>
        <w:spacing w:lineRule="auto" w:line="360" w:before="120" w:after="120"/>
        <w:ind w:firstLine="567"/>
        <w:jc w:val="both"/>
        <w:rPr>
          <w:rFonts w:ascii="Arial" w:hAnsi="Arial" w:cs="Arial"/>
          <w:sz w:val="24"/>
          <w:szCs w:val="24"/>
        </w:rPr>
      </w:pPr>
      <w:r>
        <w:rPr>
          <w:rFonts w:cs="Arial" w:ascii="Arial" w:hAnsi="Arial"/>
          <w:sz w:val="24"/>
          <w:szCs w:val="24"/>
        </w:rPr>
        <w:t>O fluxo do Serviço Ambulatorial de Saúde Auditiva pode se dar de duas formas, dependendo se o usuário for agendado para avaliação inicial ou para reposição por orçamento ou BO.</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Para a avaliação inicial, o usuário será encaminhado no Serviço Ambulatorial de Saúde Auditiva nos seguintes casos:</w:t>
      </w:r>
    </w:p>
    <w:p>
      <w:pPr>
        <w:pStyle w:val="ListParagraph"/>
        <w:numPr>
          <w:ilvl w:val="0"/>
          <w:numId w:val="31"/>
        </w:numPr>
        <w:spacing w:lineRule="auto" w:line="360" w:before="120" w:after="120"/>
        <w:ind w:left="1134" w:hanging="567"/>
        <w:contextualSpacing/>
        <w:jc w:val="both"/>
        <w:rPr/>
      </w:pPr>
      <w:r>
        <w:rPr>
          <w:rFonts w:cs="Arial" w:ascii="Arial" w:hAnsi="Arial"/>
          <w:sz w:val="24"/>
          <w:szCs w:val="24"/>
        </w:rPr>
        <w:t>Crianças com indicadores de risco para a deficiência auditiva, que falharam no reteste do PEATE ou PEATE</w:t>
      </w:r>
      <w:r>
        <w:rPr>
          <w:rFonts w:cs="Arial" w:ascii="Arial" w:hAnsi="Arial"/>
          <w:color w:val="000000"/>
          <w:sz w:val="24"/>
          <w:szCs w:val="24"/>
        </w:rPr>
        <w:t xml:space="preserve">-A </w:t>
      </w:r>
      <w:r>
        <w:rPr>
          <w:rFonts w:cs="Arial" w:ascii="Arial" w:hAnsi="Arial"/>
          <w:color w:val="000000"/>
          <w:sz w:val="24"/>
          <w:szCs w:val="24"/>
        </w:rPr>
        <w:t>(Potencial evocado auditivo para triagem auditiva 02.11.07.027-0)</w:t>
      </w:r>
      <w:r>
        <w:rPr>
          <w:rFonts w:cs="Arial" w:ascii="Arial" w:hAnsi="Arial"/>
          <w:color w:val="000000"/>
          <w:sz w:val="24"/>
          <w:szCs w:val="24"/>
        </w:rPr>
        <w:t xml:space="preserve"> em modo triagem em 35 dBNA.</w:t>
      </w:r>
    </w:p>
    <w:p>
      <w:pPr>
        <w:pStyle w:val="ListParagraph"/>
        <w:numPr>
          <w:ilvl w:val="0"/>
          <w:numId w:val="31"/>
        </w:numPr>
        <w:spacing w:lineRule="auto" w:line="360" w:before="120" w:after="120"/>
        <w:contextualSpacing/>
        <w:jc w:val="both"/>
        <w:rPr/>
      </w:pPr>
      <w:r>
        <w:rPr>
          <w:rFonts w:cs="Arial" w:ascii="Arial" w:hAnsi="Arial"/>
          <w:sz w:val="24"/>
          <w:szCs w:val="24"/>
        </w:rPr>
        <w:t xml:space="preserve">Crianças sem indicadores de risco para a deficiência auditiva, que falharam no teste do PEATE ou PEATE-A  </w:t>
      </w:r>
      <w:r>
        <w:rPr>
          <w:rFonts w:cs="Arial" w:ascii="Arial" w:hAnsi="Arial"/>
          <w:color w:val="FF0000"/>
          <w:sz w:val="24"/>
          <w:szCs w:val="24"/>
        </w:rPr>
        <w:t xml:space="preserve">(Potencial evocado auditivo para triagem auditiva 02.11.07.027-0) </w:t>
      </w:r>
      <w:r>
        <w:rPr>
          <w:rFonts w:cs="Arial" w:ascii="Arial" w:hAnsi="Arial"/>
          <w:sz w:val="24"/>
          <w:szCs w:val="24"/>
        </w:rPr>
        <w:t>em modo triagem em 35 dBNA.</w:t>
      </w:r>
    </w:p>
    <w:p>
      <w:pPr>
        <w:pStyle w:val="ListParagraph"/>
        <w:numPr>
          <w:ilvl w:val="0"/>
          <w:numId w:val="0"/>
        </w:numPr>
        <w:spacing w:lineRule="auto" w:line="360" w:before="120" w:after="120"/>
        <w:ind w:left="2177" w:hanging="0"/>
        <w:contextualSpacing/>
        <w:jc w:val="both"/>
        <w:rPr>
          <w:rFonts w:ascii="Arial" w:hAnsi="Arial" w:cs="Arial"/>
          <w:sz w:val="24"/>
          <w:szCs w:val="24"/>
        </w:rPr>
      </w:pPr>
      <w:r>
        <w:rPr>
          <w:rFonts w:cs="Arial" w:ascii="Arial" w:hAnsi="Arial"/>
          <w:sz w:val="24"/>
          <w:szCs w:val="24"/>
        </w:rPr>
      </w:r>
    </w:p>
    <w:p>
      <w:pPr>
        <w:pStyle w:val="ListParagraph"/>
        <w:numPr>
          <w:ilvl w:val="0"/>
          <w:numId w:val="31"/>
        </w:numPr>
        <w:spacing w:lineRule="auto" w:line="360" w:before="120" w:after="120"/>
        <w:ind w:left="1134" w:hanging="567"/>
        <w:contextualSpacing/>
        <w:jc w:val="both"/>
        <w:rPr>
          <w:color w:val="000000"/>
        </w:rPr>
      </w:pPr>
      <w:r>
        <w:rPr>
          <w:rFonts w:cs="Arial" w:ascii="Arial" w:hAnsi="Arial"/>
          <w:color w:val="000000"/>
          <w:sz w:val="24"/>
          <w:szCs w:val="24"/>
        </w:rPr>
        <w:t xml:space="preserve">Usuários com suspeita de deficiência auditiva que passaram por algum serviço de avaliação audiológica </w:t>
      </w:r>
      <w:r>
        <w:rPr>
          <w:rFonts w:cs="Arial" w:ascii="Arial" w:hAnsi="Arial"/>
          <w:color w:val="000000"/>
          <w:sz w:val="24"/>
          <w:szCs w:val="24"/>
        </w:rPr>
        <w:t>(médico otorrinolaringologista e/ou fonoaudiólogo)</w:t>
      </w:r>
      <w:r>
        <w:rPr>
          <w:rFonts w:cs="Arial" w:ascii="Arial" w:hAnsi="Arial"/>
          <w:color w:val="000000"/>
          <w:sz w:val="24"/>
          <w:szCs w:val="24"/>
        </w:rPr>
        <w:t xml:space="preserve"> de referência do município.</w:t>
      </w:r>
    </w:p>
    <w:p>
      <w:pPr>
        <w:pStyle w:val="ListParagraph"/>
        <w:numPr>
          <w:ilvl w:val="0"/>
          <w:numId w:val="0"/>
        </w:numPr>
        <w:spacing w:lineRule="auto" w:line="360" w:before="120" w:after="120"/>
        <w:ind w:left="2024" w:hanging="0"/>
        <w:contextualSpacing/>
        <w:jc w:val="both"/>
        <w:rPr>
          <w:rFonts w:ascii="Arial" w:hAnsi="Arial" w:cs="Arial"/>
          <w:sz w:val="24"/>
          <w:szCs w:val="24"/>
        </w:rPr>
      </w:pPr>
      <w:r>
        <w:rPr>
          <w:rFonts w:cs="Arial" w:ascii="Arial" w:hAnsi="Arial"/>
          <w:sz w:val="24"/>
          <w:szCs w:val="24"/>
        </w:rPr>
      </w:r>
    </w:p>
    <w:p>
      <w:pPr>
        <w:pStyle w:val="ListParagraph"/>
        <w:numPr>
          <w:ilvl w:val="0"/>
          <w:numId w:val="31"/>
        </w:numPr>
        <w:spacing w:lineRule="auto" w:line="360" w:before="120" w:after="120"/>
        <w:ind w:left="1134" w:hanging="567"/>
        <w:contextualSpacing/>
        <w:jc w:val="both"/>
        <w:rPr/>
      </w:pPr>
      <w:r>
        <w:rPr>
          <w:rFonts w:cs="Arial" w:ascii="Arial" w:hAnsi="Arial"/>
          <w:sz w:val="24"/>
          <w:szCs w:val="24"/>
        </w:rPr>
        <w:t xml:space="preserve">Usuário com diagnóstico de deficiência auditiva </w:t>
      </w:r>
      <w:r>
        <w:rPr>
          <w:rFonts w:cs="Arial" w:ascii="Arial" w:hAnsi="Arial"/>
          <w:sz w:val="24"/>
          <w:szCs w:val="24"/>
        </w:rPr>
        <w:t>(audiometria)</w:t>
      </w:r>
      <w:r>
        <w:rPr>
          <w:rFonts w:cs="Arial" w:ascii="Arial" w:hAnsi="Arial"/>
          <w:sz w:val="24"/>
          <w:szCs w:val="24"/>
        </w:rPr>
        <w:t>, encaminhados da atenção básica e/ou ambulatórios.</w:t>
      </w:r>
    </w:p>
    <w:p>
      <w:pPr>
        <w:pStyle w:val="Normal"/>
        <w:spacing w:lineRule="auto" w:line="360" w:before="120" w:after="120"/>
        <w:ind w:hanging="0"/>
        <w:jc w:val="both"/>
        <w:rPr>
          <w:rFonts w:ascii="Arial" w:hAnsi="Arial" w:eastAsia="SimSun" w:cs="Arial"/>
          <w:bCs/>
          <w:sz w:val="24"/>
          <w:szCs w:val="24"/>
          <w:lang w:bidi="hi-IN"/>
        </w:rPr>
      </w:pPr>
      <w:r>
        <w:rPr>
          <w:rFonts w:cs="Arial" w:ascii="Arial" w:hAnsi="Arial"/>
          <w:sz w:val="24"/>
          <w:szCs w:val="24"/>
        </w:rPr>
        <w:tab/>
        <w:t>Estes usuários deverão ser referenciados para os Serviços Especializados (CER e Serviço Ambulatorial de Saúde Auditiva habilitado somente na modalidade auditiva) com o preenchimento do Encaminhamento ao Serviço Ambulatorial de Saúde Auditiva (Anexo II da Deliberação CIB/240/2015), por médico ou fonoaudiólogo.</w:t>
      </w:r>
    </w:p>
    <w:p>
      <w:pPr>
        <w:pStyle w:val="Normal"/>
        <w:spacing w:lineRule="auto" w:line="360" w:before="120" w:after="120"/>
        <w:ind w:firstLine="567"/>
        <w:jc w:val="both"/>
        <w:rPr>
          <w:rFonts w:ascii="Arial" w:hAnsi="Arial" w:eastAsia="SimSun" w:cs="Arial"/>
          <w:bCs/>
          <w:sz w:val="24"/>
          <w:szCs w:val="24"/>
          <w:lang w:bidi="hi-IN"/>
        </w:rPr>
      </w:pPr>
      <w:r>
        <w:rPr>
          <w:rFonts w:eastAsia="SimSun" w:cs="Arial" w:ascii="Arial" w:hAnsi="Arial"/>
          <w:bCs/>
          <w:sz w:val="24"/>
          <w:szCs w:val="24"/>
          <w:lang w:bidi="hi-IN"/>
        </w:rPr>
        <w:t>Nos casos de não comparecimento do usuário no agendamento da avaliação inicial no Serviço Ambulatorial de Saúde Auditiva, e tendo sido comprovadamente informado do mesmo, o usuário terá direito a um novo agendamento, em caso de apresentação de atestado médico ou no caso de problemas com transporte público. Nessa situação, de transporte público, deverá haver uma declaração do Serviço Social do município de procedência, que justifique sua ausência.</w:t>
      </w:r>
    </w:p>
    <w:p>
      <w:pPr>
        <w:pStyle w:val="Normal"/>
        <w:spacing w:lineRule="auto" w:line="360" w:before="120" w:after="120"/>
        <w:ind w:firstLine="567"/>
        <w:jc w:val="both"/>
        <w:rPr>
          <w:rFonts w:ascii="Arial" w:hAnsi="Arial" w:cs="Arial"/>
          <w:sz w:val="24"/>
          <w:szCs w:val="24"/>
          <w:highlight w:val="white"/>
        </w:rPr>
      </w:pPr>
      <w:r>
        <w:rPr>
          <w:rFonts w:eastAsia="SimSun" w:cs="Arial" w:ascii="Arial" w:hAnsi="Arial"/>
          <w:bCs/>
          <w:sz w:val="24"/>
          <w:szCs w:val="24"/>
          <w:lang w:bidi="hi-IN"/>
        </w:rPr>
        <w:t>No caso de não apresentação da declaração supracitada, o usuário só poderá ingressar no Serviço Ambulatorial de Saúde Auditiva após seis meses do 1</w:t>
      </w:r>
      <w:r>
        <w:rPr>
          <w:rFonts w:eastAsia="SimSun" w:cs="Arial" w:ascii="Arial" w:hAnsi="Arial"/>
          <w:bCs/>
          <w:sz w:val="24"/>
          <w:szCs w:val="24"/>
          <w:vertAlign w:val="superscript"/>
          <w:lang w:bidi="hi-IN"/>
        </w:rPr>
        <w:t>o</w:t>
      </w:r>
      <w:r>
        <w:rPr>
          <w:rFonts w:eastAsia="SimSun" w:cs="Arial" w:ascii="Arial" w:hAnsi="Arial"/>
          <w:bCs/>
          <w:sz w:val="24"/>
          <w:szCs w:val="24"/>
          <w:lang w:bidi="hi-IN"/>
        </w:rPr>
        <w:t xml:space="preserve"> agendamento e aguardar na lista de espera de avaliação inicial (se houver).</w:t>
      </w:r>
    </w:p>
    <w:p>
      <w:pPr>
        <w:pStyle w:val="Normal"/>
        <w:spacing w:lineRule="auto" w:line="360" w:before="120" w:after="120"/>
        <w:ind w:firstLine="567"/>
        <w:jc w:val="both"/>
        <w:rPr>
          <w:rFonts w:ascii="Arial" w:hAnsi="Arial" w:cs="Arial"/>
          <w:sz w:val="24"/>
          <w:szCs w:val="24"/>
        </w:rPr>
      </w:pPr>
      <w:r>
        <w:rPr>
          <w:rFonts w:cs="Arial" w:ascii="Arial" w:hAnsi="Arial"/>
          <w:sz w:val="24"/>
          <w:szCs w:val="24"/>
          <w:shd w:fill="FFFFFF" w:val="clear"/>
        </w:rPr>
        <w:t>No caso de reposição de AASI, seja por orçamento ou por boletim de ocorrência policial (BO), os usuários deverão levar a docume</w:t>
      </w:r>
      <w:r>
        <w:rPr>
          <w:rFonts w:cs="Arial" w:ascii="Arial" w:hAnsi="Arial"/>
          <w:sz w:val="24"/>
          <w:szCs w:val="24"/>
        </w:rPr>
        <w:t>ntação para a Secretaria Municipal de Saúde para serem agendados (dentro da cota de 20% das vagas de avaliação Inicial) para a realização de reposição. Esta vaga será bloqueada no SISREG e os documentos deverão ser encaminhados juntamente com ofício que identifica a reposição.</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O fluxo do Serviço Ambulatorial de Saúde Auditiva (SASA) para a primeira avaliação e para a reposição de AASI está descrito a seguir.</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r>
    </w:p>
    <w:p>
      <w:pPr>
        <w:pStyle w:val="Normal"/>
        <w:spacing w:lineRule="auto" w:line="360" w:before="120" w:after="120"/>
        <w:ind w:firstLine="567"/>
        <w:jc w:val="center"/>
        <w:rPr>
          <w:rFonts w:ascii="Arial" w:hAnsi="Arial" w:cs="Arial"/>
          <w:sz w:val="24"/>
          <w:szCs w:val="24"/>
        </w:rPr>
      </w:pPr>
      <w:r>
        <w:rPr>
          <w:rFonts w:cs="Arial" w:ascii="Arial" w:hAnsi="Arial"/>
        </w:rPr>
        <w:t>Figura 4- Fluxo do Serviço Ambulatorial de Saúde Auditiva (SASA).</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r>
    </w:p>
    <w:p>
      <w:pPr>
        <w:pStyle w:val="Normal"/>
        <w:spacing w:lineRule="auto" w:line="360" w:before="120" w:after="120"/>
        <w:ind w:firstLine="567"/>
        <w:jc w:val="both"/>
        <w:rPr>
          <w:rFonts w:ascii="Arial" w:hAnsi="Arial" w:cs="Arial"/>
        </w:rPr>
      </w:pPr>
      <w:r>
        <w:rPr/>
        <w:drawing>
          <wp:inline distT="0" distB="0" distL="0" distR="0">
            <wp:extent cx="4940300" cy="7949565"/>
            <wp:effectExtent l="0" t="0" r="0" b="0"/>
            <wp:docPr id="5" name="Imagem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1" descr=""/>
                    <pic:cNvPicPr>
                      <a:picLocks noChangeAspect="1" noChangeArrowheads="1"/>
                    </pic:cNvPicPr>
                  </pic:nvPicPr>
                  <pic:blipFill>
                    <a:blip r:embed="rId8"/>
                    <a:srcRect l="0" t="0" r="0" b="-148"/>
                    <a:stretch>
                      <a:fillRect/>
                    </a:stretch>
                  </pic:blipFill>
                  <pic:spPr bwMode="auto">
                    <a:xfrm>
                      <a:off x="0" y="0"/>
                      <a:ext cx="4940300" cy="7949565"/>
                    </a:xfrm>
                    <a:prstGeom prst="rect">
                      <a:avLst/>
                    </a:prstGeom>
                  </pic:spPr>
                </pic:pic>
              </a:graphicData>
            </a:graphic>
          </wp:inline>
        </w:drawing>
      </w:r>
    </w:p>
    <w:p>
      <w:pPr>
        <w:pStyle w:val="Normal"/>
        <w:spacing w:lineRule="auto" w:line="360" w:before="120" w:after="120"/>
        <w:ind w:firstLine="567"/>
        <w:jc w:val="both"/>
        <w:rPr/>
      </w:pPr>
      <w:r>
        <w:rPr>
          <w:rFonts w:cs="Arial" w:ascii="Arial" w:hAnsi="Arial"/>
        </w:rPr>
        <w:t>Fonte: Primária.</w:t>
      </w:r>
    </w:p>
    <w:p>
      <w:pPr>
        <w:pStyle w:val="Normal"/>
        <w:spacing w:lineRule="auto" w:line="360" w:before="120" w:after="120"/>
        <w:jc w:val="both"/>
        <w:rPr/>
      </w:pPr>
      <w:r>
        <w:rPr/>
      </w:r>
    </w:p>
    <w:p>
      <w:pPr>
        <w:pStyle w:val="Ttulo3"/>
        <w:numPr>
          <w:ilvl w:val="2"/>
          <w:numId w:val="3"/>
        </w:numPr>
        <w:rPr>
          <w:rStyle w:val="Forte1"/>
        </w:rPr>
      </w:pPr>
      <w:bookmarkStart w:id="58" w:name="_Toc434344435"/>
      <w:bookmarkStart w:id="59" w:name="_Toc434148353"/>
      <w:bookmarkEnd w:id="58"/>
      <w:bookmarkEnd w:id="59"/>
      <w:r>
        <w:rPr>
          <w:rStyle w:val="Forte1"/>
        </w:rPr>
        <w:t>6.2.11 Atribuições e competências dos órgãos que compõem o Serviço Ambulatorial de Saúde Auditiva</w:t>
      </w:r>
    </w:p>
    <w:p>
      <w:pPr>
        <w:pStyle w:val="Corpodetexto"/>
        <w:rPr/>
      </w:pPr>
      <w:r>
        <w:rPr/>
      </w:r>
    </w:p>
    <w:p>
      <w:pPr>
        <w:pStyle w:val="Default"/>
        <w:spacing w:lineRule="auto" w:line="360" w:before="120" w:after="120"/>
        <w:ind w:firstLine="567"/>
        <w:jc w:val="both"/>
        <w:rPr>
          <w:rFonts w:ascii="Arial" w:hAnsi="Arial" w:cs="Arial"/>
          <w:sz w:val="24"/>
          <w:szCs w:val="24"/>
        </w:rPr>
      </w:pPr>
      <w:r>
        <w:rPr>
          <w:rFonts w:cs="Arial" w:ascii="Arial" w:hAnsi="Arial"/>
          <w:sz w:val="24"/>
          <w:szCs w:val="24"/>
        </w:rPr>
        <w:t>O acesso ao usuário no Serviço Ambulatorial de Saúde Auditiva perpassa pelos diferentes níveis de atenção e competências administrativas. Caberá a cada esfera administrativa exercer suas atividades conforme a seguir especificadas, de acordo com o fluxo estabelecido em 6.2.10.</w:t>
      </w:r>
    </w:p>
    <w:p>
      <w:pPr>
        <w:pStyle w:val="Default"/>
        <w:spacing w:lineRule="auto" w:line="360" w:before="120" w:after="120"/>
        <w:ind w:firstLine="567"/>
        <w:jc w:val="both"/>
        <w:rPr>
          <w:rFonts w:ascii="Arial" w:hAnsi="Arial" w:cs="Arial"/>
          <w:sz w:val="24"/>
          <w:szCs w:val="24"/>
        </w:rPr>
      </w:pPr>
      <w:r>
        <w:rPr>
          <w:rFonts w:cs="Arial" w:ascii="Arial" w:hAnsi="Arial"/>
          <w:sz w:val="24"/>
          <w:szCs w:val="24"/>
        </w:rPr>
      </w:r>
    </w:p>
    <w:p>
      <w:pPr>
        <w:pStyle w:val="Default"/>
        <w:spacing w:lineRule="auto" w:line="360" w:before="120" w:after="120"/>
        <w:ind w:firstLine="567"/>
        <w:jc w:val="both"/>
        <w:rPr>
          <w:rFonts w:ascii="Arial" w:hAnsi="Arial" w:cs="Arial"/>
          <w:sz w:val="24"/>
          <w:szCs w:val="24"/>
        </w:rPr>
      </w:pPr>
      <w:r>
        <w:rPr>
          <w:rFonts w:cs="Arial" w:ascii="Arial" w:hAnsi="Arial"/>
          <w:sz w:val="24"/>
          <w:szCs w:val="24"/>
        </w:rPr>
        <w:t xml:space="preserve">São atribuições e competências da </w:t>
      </w:r>
      <w:r>
        <w:rPr>
          <w:rFonts w:cs="Arial" w:ascii="Arial" w:hAnsi="Arial"/>
          <w:b/>
          <w:bCs/>
          <w:sz w:val="24"/>
          <w:szCs w:val="24"/>
        </w:rPr>
        <w:t>SECRETARIA MUNICIPAL DE SAÚDE (SMS):</w:t>
      </w:r>
    </w:p>
    <w:p>
      <w:pPr>
        <w:pStyle w:val="PadroLTGliederung1"/>
        <w:numPr>
          <w:ilvl w:val="0"/>
          <w:numId w:val="32"/>
        </w:numPr>
        <w:spacing w:lineRule="auto" w:line="360" w:before="120" w:after="120"/>
        <w:ind w:left="1134" w:hanging="567"/>
        <w:jc w:val="both"/>
        <w:rPr>
          <w:rFonts w:ascii="Arial" w:hAnsi="Arial" w:cs="Arial"/>
          <w:sz w:val="24"/>
          <w:szCs w:val="24"/>
        </w:rPr>
      </w:pPr>
      <w:r>
        <w:rPr>
          <w:rFonts w:cs="Arial" w:ascii="Arial" w:hAnsi="Arial"/>
          <w:sz w:val="24"/>
          <w:szCs w:val="24"/>
        </w:rPr>
        <w:t>Abrir o processo para o ingresso no Serviço Ambulatorial de Saúde Auditiva;</w:t>
      </w:r>
    </w:p>
    <w:p>
      <w:pPr>
        <w:pStyle w:val="PadroLTGliederung1"/>
        <w:numPr>
          <w:ilvl w:val="0"/>
          <w:numId w:val="32"/>
        </w:numPr>
        <w:spacing w:lineRule="auto" w:line="360" w:before="120" w:after="120"/>
        <w:ind w:left="1134" w:hanging="567"/>
        <w:jc w:val="both"/>
        <w:rPr>
          <w:rFonts w:ascii="Arial" w:hAnsi="Arial" w:cs="Arial"/>
          <w:sz w:val="24"/>
          <w:szCs w:val="24"/>
        </w:rPr>
      </w:pPr>
      <w:r>
        <w:rPr>
          <w:rFonts w:cs="Arial" w:ascii="Arial" w:hAnsi="Arial"/>
          <w:sz w:val="24"/>
          <w:szCs w:val="24"/>
        </w:rPr>
        <w:t>Agendar o usuário para o Prestador do Serviço Ambulatorial de Saúde Auditiva (quando o mesmo estiver na responsabilidade do município);</w:t>
      </w:r>
    </w:p>
    <w:p>
      <w:pPr>
        <w:pStyle w:val="PadroLTGliederung1"/>
        <w:numPr>
          <w:ilvl w:val="0"/>
          <w:numId w:val="32"/>
        </w:numPr>
        <w:spacing w:lineRule="auto" w:line="360" w:before="120" w:after="120"/>
        <w:ind w:left="1134" w:hanging="567"/>
        <w:jc w:val="both"/>
        <w:rPr>
          <w:rFonts w:ascii="Arial" w:hAnsi="Arial" w:cs="Arial"/>
          <w:sz w:val="24"/>
          <w:szCs w:val="24"/>
        </w:rPr>
      </w:pPr>
      <w:r>
        <w:rPr>
          <w:rFonts w:cs="Arial" w:ascii="Arial" w:hAnsi="Arial"/>
          <w:sz w:val="24"/>
          <w:szCs w:val="24"/>
        </w:rPr>
        <w:t xml:space="preserve">Encaminhar o processo para </w:t>
      </w:r>
      <w:r>
        <w:rPr>
          <w:rFonts w:cs="Arial" w:ascii="Arial" w:hAnsi="Arial"/>
          <w:sz w:val="24"/>
          <w:szCs w:val="24"/>
          <w:shd w:fill="FFFFFF" w:val="clear"/>
        </w:rPr>
        <w:t>a Regional de Saúde;</w:t>
      </w:r>
    </w:p>
    <w:p>
      <w:pPr>
        <w:pStyle w:val="PadroLTGliederung1"/>
        <w:numPr>
          <w:ilvl w:val="0"/>
          <w:numId w:val="32"/>
        </w:numPr>
        <w:spacing w:lineRule="auto" w:line="360" w:before="120" w:after="120"/>
        <w:ind w:left="1134" w:hanging="567"/>
        <w:jc w:val="both"/>
        <w:rPr>
          <w:rFonts w:ascii="Arial" w:hAnsi="Arial" w:cs="Arial"/>
          <w:sz w:val="24"/>
          <w:szCs w:val="24"/>
        </w:rPr>
      </w:pPr>
      <w:r>
        <w:rPr>
          <w:rFonts w:cs="Arial" w:ascii="Arial" w:hAnsi="Arial"/>
          <w:sz w:val="24"/>
          <w:szCs w:val="24"/>
        </w:rPr>
        <w:t>Cumprir as cotas e respeitar a fila de espera para atendimento;</w:t>
      </w:r>
    </w:p>
    <w:p>
      <w:pPr>
        <w:pStyle w:val="PadroLTGliederung1"/>
        <w:numPr>
          <w:ilvl w:val="0"/>
          <w:numId w:val="32"/>
        </w:numPr>
        <w:spacing w:lineRule="auto" w:line="360" w:before="120" w:after="120"/>
        <w:ind w:left="1134" w:hanging="567"/>
        <w:jc w:val="both"/>
        <w:rPr>
          <w:rFonts w:ascii="Arial" w:hAnsi="Arial" w:cs="Arial"/>
          <w:sz w:val="24"/>
          <w:szCs w:val="24"/>
        </w:rPr>
      </w:pPr>
      <w:r>
        <w:rPr>
          <w:rFonts w:cs="Arial" w:ascii="Arial" w:hAnsi="Arial"/>
          <w:sz w:val="24"/>
          <w:szCs w:val="24"/>
        </w:rPr>
        <w:t xml:space="preserve">Realizar a terapia fonoaudiológica </w:t>
      </w:r>
      <w:r>
        <w:rPr>
          <w:rFonts w:cs="Arial" w:ascii="Arial" w:hAnsi="Arial"/>
          <w:sz w:val="24"/>
          <w:szCs w:val="24"/>
          <w:shd w:fill="FFFFFF" w:val="clear"/>
        </w:rPr>
        <w:t>dos pacientes usuários de AASI, e re</w:t>
      </w:r>
      <w:r>
        <w:rPr>
          <w:rFonts w:cs="Arial" w:ascii="Arial" w:hAnsi="Arial"/>
          <w:sz w:val="24"/>
          <w:szCs w:val="24"/>
        </w:rPr>
        <w:t>ceber os usuários contrarreferenciados, após o prazo de realização no SASA, e quando necessário.</w:t>
      </w:r>
    </w:p>
    <w:p>
      <w:pPr>
        <w:pStyle w:val="PadroLTGliederung1"/>
        <w:spacing w:lineRule="auto" w:line="360" w:before="120" w:after="120"/>
        <w:ind w:firstLine="567"/>
        <w:jc w:val="both"/>
        <w:rPr>
          <w:rFonts w:ascii="Arial" w:hAnsi="Arial" w:cs="Arial"/>
          <w:sz w:val="24"/>
          <w:szCs w:val="24"/>
        </w:rPr>
      </w:pPr>
      <w:r>
        <w:rPr>
          <w:rFonts w:cs="Arial" w:ascii="Arial" w:hAnsi="Arial"/>
          <w:sz w:val="24"/>
          <w:szCs w:val="24"/>
        </w:rPr>
        <w:t>O processo para o Serviço Ambulatorial de Saúde Auditiva, deverá conter os seguintes documentos:</w:t>
      </w:r>
    </w:p>
    <w:p>
      <w:pPr>
        <w:pStyle w:val="PadroLTGliederung1"/>
        <w:numPr>
          <w:ilvl w:val="0"/>
          <w:numId w:val="33"/>
        </w:numPr>
        <w:spacing w:lineRule="auto" w:line="360" w:before="120" w:after="120"/>
        <w:ind w:left="1134" w:hanging="567"/>
        <w:jc w:val="both"/>
        <w:rPr>
          <w:rFonts w:ascii="Arial" w:hAnsi="Arial" w:cs="Arial"/>
          <w:sz w:val="24"/>
          <w:szCs w:val="24"/>
        </w:rPr>
      </w:pPr>
      <w:r>
        <w:rPr>
          <w:rFonts w:cs="Arial" w:ascii="Arial" w:hAnsi="Arial"/>
          <w:sz w:val="24"/>
          <w:szCs w:val="24"/>
        </w:rPr>
        <w:t>Encaminhamento ao Serviço Ambulatorial de Saúde Auditiva,</w:t>
      </w:r>
    </w:p>
    <w:p>
      <w:pPr>
        <w:pStyle w:val="PadroLTGliederung1"/>
        <w:numPr>
          <w:ilvl w:val="0"/>
          <w:numId w:val="33"/>
        </w:numPr>
        <w:spacing w:lineRule="auto" w:line="360" w:before="120" w:after="120"/>
        <w:ind w:left="1134" w:hanging="567"/>
        <w:jc w:val="both"/>
        <w:rPr>
          <w:rFonts w:ascii="Arial" w:hAnsi="Arial" w:cs="Arial"/>
          <w:sz w:val="24"/>
          <w:szCs w:val="24"/>
        </w:rPr>
      </w:pPr>
      <w:r>
        <w:rPr>
          <w:rFonts w:cs="Arial" w:ascii="Arial" w:hAnsi="Arial"/>
          <w:sz w:val="24"/>
          <w:szCs w:val="24"/>
        </w:rPr>
        <w:t>Cópias do RG, CPF do usuário, Comprovante de Residência, Cartão Nacional de Saúde do SUS,</w:t>
      </w:r>
    </w:p>
    <w:p>
      <w:pPr>
        <w:pStyle w:val="PadroLTGliederung1"/>
        <w:numPr>
          <w:ilvl w:val="0"/>
          <w:numId w:val="33"/>
        </w:numPr>
        <w:spacing w:lineRule="auto" w:line="360" w:before="120" w:after="120"/>
        <w:ind w:left="1134" w:hanging="567"/>
        <w:jc w:val="both"/>
        <w:rPr>
          <w:rFonts w:ascii="Arial" w:hAnsi="Arial" w:cs="Arial"/>
          <w:sz w:val="24"/>
          <w:szCs w:val="24"/>
        </w:rPr>
      </w:pPr>
      <w:r>
        <w:rPr>
          <w:rFonts w:cs="Arial" w:ascii="Arial" w:hAnsi="Arial"/>
          <w:sz w:val="24"/>
          <w:szCs w:val="24"/>
        </w:rPr>
        <w:t>Abertura de TFD, exceto para o município gestor do SASA,</w:t>
      </w:r>
    </w:p>
    <w:p>
      <w:pPr>
        <w:pStyle w:val="PadroLTGliederung1"/>
        <w:numPr>
          <w:ilvl w:val="0"/>
          <w:numId w:val="33"/>
        </w:numPr>
        <w:spacing w:lineRule="auto" w:line="360" w:before="120" w:after="120"/>
        <w:ind w:left="1134" w:hanging="567"/>
        <w:jc w:val="both"/>
        <w:rPr>
          <w:rFonts w:ascii="Arial" w:hAnsi="Arial" w:cs="Arial"/>
          <w:sz w:val="24"/>
          <w:szCs w:val="24"/>
        </w:rPr>
      </w:pPr>
      <w:r>
        <w:rPr>
          <w:rFonts w:cs="Arial" w:ascii="Arial" w:hAnsi="Arial"/>
          <w:sz w:val="24"/>
          <w:szCs w:val="24"/>
        </w:rPr>
        <w:t>O agendamento será realizado quando o usuário for encaminhado para avaliação inicial, ou para os usuários já cadastrados, mas que necessitam de reposição de AASI.</w:t>
      </w:r>
    </w:p>
    <w:p>
      <w:pPr>
        <w:pStyle w:val="PadroLTGliederung1"/>
        <w:spacing w:lineRule="auto" w:line="360" w:before="120" w:after="120"/>
        <w:ind w:left="1440" w:hanging="0"/>
        <w:jc w:val="both"/>
        <w:rPr>
          <w:rFonts w:ascii="Arial" w:hAnsi="Arial" w:cs="Arial"/>
          <w:b/>
          <w:b/>
          <w:bCs/>
          <w:sz w:val="24"/>
          <w:szCs w:val="24"/>
        </w:rPr>
      </w:pPr>
      <w:r>
        <w:rPr>
          <w:rFonts w:cs="Arial" w:ascii="Arial" w:hAnsi="Arial"/>
          <w:b/>
          <w:bCs/>
          <w:sz w:val="24"/>
          <w:szCs w:val="24"/>
        </w:rPr>
      </w:r>
    </w:p>
    <w:p>
      <w:pPr>
        <w:pStyle w:val="PadroLTGliederung1"/>
        <w:spacing w:lineRule="auto" w:line="360" w:before="120" w:after="120"/>
        <w:jc w:val="both"/>
        <w:rPr>
          <w:rFonts w:ascii="Arial" w:hAnsi="Arial" w:cs="Arial"/>
          <w:sz w:val="24"/>
          <w:szCs w:val="24"/>
        </w:rPr>
      </w:pPr>
      <w:r>
        <w:rPr>
          <w:rFonts w:cs="Arial" w:ascii="Arial" w:hAnsi="Arial"/>
          <w:b/>
          <w:bCs/>
          <w:sz w:val="24"/>
          <w:szCs w:val="24"/>
        </w:rPr>
        <w:t>Usuários de avaliação inicial:</w:t>
      </w:r>
    </w:p>
    <w:p>
      <w:pPr>
        <w:pStyle w:val="Padro"/>
        <w:numPr>
          <w:ilvl w:val="0"/>
          <w:numId w:val="34"/>
        </w:numPr>
        <w:tabs>
          <w:tab w:val="left" w:pos="0" w:leader="none"/>
          <w:tab w:val="left" w:pos="733" w:leader="none"/>
          <w:tab w:val="left" w:pos="1440" w:leader="none"/>
          <w:tab w:val="left" w:pos="2880" w:leader="none"/>
          <w:tab w:val="left" w:pos="4320" w:leader="none"/>
          <w:tab w:val="left" w:pos="5760" w:leader="none"/>
          <w:tab w:val="left" w:pos="7200" w:leader="none"/>
          <w:tab w:val="left" w:pos="8640" w:leader="none"/>
          <w:tab w:val="left" w:pos="10080" w:leader="none"/>
          <w:tab w:val="left" w:pos="11520" w:leader="none"/>
          <w:tab w:val="left" w:pos="12960" w:leader="none"/>
          <w:tab w:val="left" w:pos="14400" w:leader="none"/>
          <w:tab w:val="left" w:pos="15840" w:leader="none"/>
        </w:tabs>
        <w:spacing w:lineRule="auto" w:line="360"/>
        <w:ind w:left="1134" w:hanging="567"/>
        <w:jc w:val="both"/>
        <w:rPr>
          <w:rFonts w:ascii="Arial" w:hAnsi="Arial" w:cs="Arial"/>
          <w:sz w:val="24"/>
          <w:szCs w:val="24"/>
        </w:rPr>
      </w:pPr>
      <w:r>
        <w:rPr>
          <w:rFonts w:cs="Arial" w:ascii="Arial" w:hAnsi="Arial"/>
          <w:sz w:val="24"/>
          <w:szCs w:val="24"/>
        </w:rPr>
        <w:t>Agendar o usuário no SISREG, para o Prestador do Serviço Ambulatorial de Saúde Auditiva;</w:t>
      </w:r>
    </w:p>
    <w:p>
      <w:pPr>
        <w:pStyle w:val="Padro"/>
        <w:numPr>
          <w:ilvl w:val="0"/>
          <w:numId w:val="34"/>
        </w:numPr>
        <w:tabs>
          <w:tab w:val="left" w:pos="0" w:leader="none"/>
          <w:tab w:val="left" w:pos="733" w:leader="none"/>
          <w:tab w:val="left" w:pos="1440" w:leader="none"/>
          <w:tab w:val="left" w:pos="2880" w:leader="none"/>
          <w:tab w:val="left" w:pos="4320" w:leader="none"/>
          <w:tab w:val="left" w:pos="5760" w:leader="none"/>
          <w:tab w:val="left" w:pos="7200" w:leader="none"/>
          <w:tab w:val="left" w:pos="8640" w:leader="none"/>
          <w:tab w:val="left" w:pos="10080" w:leader="none"/>
          <w:tab w:val="left" w:pos="11520" w:leader="none"/>
          <w:tab w:val="left" w:pos="12960" w:leader="none"/>
          <w:tab w:val="left" w:pos="14400" w:leader="none"/>
          <w:tab w:val="left" w:pos="15840" w:leader="none"/>
        </w:tabs>
        <w:spacing w:lineRule="auto" w:line="360"/>
        <w:ind w:left="1134" w:hanging="567"/>
        <w:jc w:val="both"/>
        <w:rPr>
          <w:rFonts w:ascii="Arial" w:hAnsi="Arial" w:cs="Arial"/>
          <w:sz w:val="24"/>
          <w:szCs w:val="24"/>
        </w:rPr>
      </w:pPr>
      <w:r>
        <w:rPr>
          <w:rFonts w:cs="Arial" w:ascii="Arial" w:hAnsi="Arial"/>
          <w:sz w:val="24"/>
          <w:szCs w:val="24"/>
        </w:rPr>
        <w:t>Agendar o usuário conforme a lista de espera, de fila única, sendo observados os seguintes critérios de prioridade no atendimento relacionado à concessão de AASI:</w:t>
      </w:r>
    </w:p>
    <w:p>
      <w:pPr>
        <w:pStyle w:val="Padro"/>
        <w:tabs>
          <w:tab w:val="left" w:pos="0" w:leader="none"/>
          <w:tab w:val="left" w:pos="733" w:leader="none"/>
          <w:tab w:val="left" w:pos="1440" w:leader="none"/>
          <w:tab w:val="left" w:pos="2880" w:leader="none"/>
          <w:tab w:val="left" w:pos="4320" w:leader="none"/>
          <w:tab w:val="left" w:pos="5760" w:leader="none"/>
          <w:tab w:val="left" w:pos="7200" w:leader="none"/>
          <w:tab w:val="left" w:pos="8640" w:leader="none"/>
          <w:tab w:val="left" w:pos="10080" w:leader="none"/>
          <w:tab w:val="left" w:pos="11520" w:leader="none"/>
          <w:tab w:val="left" w:pos="12960" w:leader="none"/>
          <w:tab w:val="left" w:pos="14400" w:leader="none"/>
          <w:tab w:val="left" w:pos="15840" w:leader="none"/>
        </w:tabs>
        <w:spacing w:lineRule="auto" w:line="360"/>
        <w:ind w:left="1211" w:hanging="0"/>
        <w:jc w:val="both"/>
        <w:rPr>
          <w:rFonts w:ascii="Arial" w:hAnsi="Arial" w:cs="Arial"/>
          <w:sz w:val="24"/>
          <w:szCs w:val="24"/>
        </w:rPr>
      </w:pPr>
      <w:r>
        <w:rPr>
          <w:rFonts w:cs="Arial" w:ascii="Arial" w:hAnsi="Arial"/>
          <w:sz w:val="24"/>
          <w:szCs w:val="24"/>
        </w:rPr>
      </w:r>
    </w:p>
    <w:p>
      <w:pPr>
        <w:pStyle w:val="PadroLTGliederung1"/>
        <w:numPr>
          <w:ilvl w:val="0"/>
          <w:numId w:val="35"/>
        </w:numPr>
        <w:spacing w:lineRule="auto" w:line="360" w:before="120" w:after="120"/>
        <w:ind w:left="1134" w:hanging="567"/>
        <w:jc w:val="both"/>
        <w:rPr>
          <w:rFonts w:ascii="Arial" w:hAnsi="Arial" w:cs="Arial"/>
          <w:sz w:val="24"/>
          <w:szCs w:val="24"/>
        </w:rPr>
      </w:pPr>
      <w:r>
        <w:rPr>
          <w:rFonts w:cs="Arial" w:ascii="Arial" w:hAnsi="Arial"/>
          <w:sz w:val="24"/>
          <w:szCs w:val="24"/>
        </w:rPr>
        <w:t>Perdas súbitas como sequela de quadro infeccioso, como meningite, que possa levar a um processo degenerativo da fala;</w:t>
      </w:r>
    </w:p>
    <w:p>
      <w:pPr>
        <w:pStyle w:val="PadroLTGliederung1"/>
        <w:numPr>
          <w:ilvl w:val="0"/>
          <w:numId w:val="35"/>
        </w:numPr>
        <w:spacing w:lineRule="auto" w:line="360" w:before="120" w:after="120"/>
        <w:ind w:left="1134" w:hanging="567"/>
        <w:jc w:val="both"/>
        <w:rPr>
          <w:rFonts w:ascii="Arial" w:hAnsi="Arial" w:cs="Arial"/>
          <w:sz w:val="24"/>
          <w:szCs w:val="24"/>
        </w:rPr>
      </w:pPr>
      <w:r>
        <w:rPr>
          <w:rFonts w:cs="Arial" w:ascii="Arial" w:hAnsi="Arial"/>
          <w:sz w:val="24"/>
          <w:szCs w:val="24"/>
        </w:rPr>
        <w:t xml:space="preserve">Bebês e crianças até 3 anos e 11 meses; </w:t>
      </w:r>
    </w:p>
    <w:p>
      <w:pPr>
        <w:pStyle w:val="PadroLTGliederung1"/>
        <w:numPr>
          <w:ilvl w:val="0"/>
          <w:numId w:val="35"/>
        </w:numPr>
        <w:spacing w:lineRule="auto" w:line="360" w:before="120" w:after="120"/>
        <w:ind w:left="1134" w:hanging="567"/>
        <w:jc w:val="both"/>
        <w:rPr>
          <w:rFonts w:ascii="Arial" w:hAnsi="Arial" w:cs="Arial"/>
          <w:sz w:val="24"/>
          <w:szCs w:val="24"/>
        </w:rPr>
      </w:pPr>
      <w:r>
        <w:rPr>
          <w:rFonts w:cs="Arial" w:ascii="Arial" w:hAnsi="Arial"/>
          <w:sz w:val="24"/>
          <w:szCs w:val="24"/>
        </w:rPr>
        <w:t>Crianças e adolescentes até 15 anos;</w:t>
      </w:r>
    </w:p>
    <w:p>
      <w:pPr>
        <w:pStyle w:val="PadroLTGliederung1"/>
        <w:numPr>
          <w:ilvl w:val="0"/>
          <w:numId w:val="35"/>
        </w:numPr>
        <w:spacing w:lineRule="auto" w:line="360" w:before="120" w:after="120"/>
        <w:ind w:left="1134" w:hanging="567"/>
        <w:jc w:val="both"/>
        <w:rPr/>
      </w:pPr>
      <w:r>
        <w:rPr>
          <w:rFonts w:cs="Arial" w:ascii="Arial" w:hAnsi="Arial"/>
          <w:sz w:val="24"/>
          <w:szCs w:val="24"/>
        </w:rPr>
        <w:t>Adultos e/ou maiores de 15 anos em idade laborativa/estudos com perdas progressivas, que estejam comprometendo</w:t>
      </w:r>
      <w:r>
        <w:rPr>
          <w:rFonts w:cs="Arial" w:ascii="Arial" w:hAnsi="Arial"/>
          <w:color w:val="000000"/>
          <w:sz w:val="24"/>
          <w:szCs w:val="24"/>
        </w:rPr>
        <w:t xml:space="preserve"> a produtividade/qualidade de vida, mediante apresentação de relatório médico, e no caso de estudante, comprovante de matrícula;</w:t>
      </w:r>
    </w:p>
    <w:p>
      <w:pPr>
        <w:pStyle w:val="PadroLTGliederung1"/>
        <w:numPr>
          <w:ilvl w:val="0"/>
          <w:numId w:val="35"/>
        </w:numPr>
        <w:spacing w:lineRule="auto" w:line="360" w:before="120" w:after="120"/>
        <w:ind w:left="1134" w:hanging="567"/>
        <w:jc w:val="both"/>
        <w:rPr>
          <w:rFonts w:ascii="Arial" w:hAnsi="Arial" w:cs="Arial"/>
          <w:sz w:val="24"/>
          <w:szCs w:val="24"/>
        </w:rPr>
      </w:pPr>
      <w:r>
        <w:rPr>
          <w:rFonts w:cs="Arial" w:ascii="Arial" w:hAnsi="Arial"/>
          <w:sz w:val="24"/>
          <w:szCs w:val="24"/>
        </w:rPr>
        <w:t>Idosos com perdas adquiridas/progressivas com dificuldade de comunicação importante que cause isolamento/depressão.</w:t>
      </w:r>
    </w:p>
    <w:p>
      <w:pPr>
        <w:pStyle w:val="PadroLTGliederung1"/>
        <w:spacing w:lineRule="auto" w:line="360" w:before="120" w:after="120"/>
        <w:ind w:left="1440" w:hanging="0"/>
        <w:jc w:val="both"/>
        <w:rPr>
          <w:rFonts w:ascii="Arial" w:hAnsi="Arial" w:cs="Arial"/>
          <w:sz w:val="24"/>
          <w:szCs w:val="24"/>
        </w:rPr>
      </w:pPr>
      <w:r>
        <w:rPr>
          <w:rFonts w:cs="Arial" w:ascii="Arial" w:hAnsi="Arial"/>
          <w:sz w:val="24"/>
          <w:szCs w:val="24"/>
        </w:rPr>
      </w:r>
    </w:p>
    <w:p>
      <w:pPr>
        <w:pStyle w:val="PadroLTGliederung1"/>
        <w:spacing w:lineRule="auto" w:line="360" w:before="120" w:after="120"/>
        <w:jc w:val="both"/>
        <w:rPr>
          <w:rFonts w:ascii="Arial" w:hAnsi="Arial" w:cs="Arial"/>
          <w:sz w:val="24"/>
          <w:szCs w:val="24"/>
        </w:rPr>
      </w:pPr>
      <w:r>
        <w:rPr>
          <w:rFonts w:cs="Arial" w:ascii="Arial" w:hAnsi="Arial"/>
          <w:b/>
          <w:bCs/>
          <w:sz w:val="24"/>
          <w:szCs w:val="24"/>
        </w:rPr>
        <w:t xml:space="preserve">Usuários, já cadastrados, para reposição de AASI </w:t>
      </w:r>
      <w:bookmarkStart w:id="60" w:name="__DdeLink__8549_1764425700"/>
      <w:r>
        <w:rPr>
          <w:rFonts w:cs="Arial" w:ascii="Arial" w:hAnsi="Arial"/>
          <w:b/>
          <w:bCs/>
          <w:sz w:val="24"/>
          <w:szCs w:val="24"/>
        </w:rPr>
        <w:t>por BO ou orçamento</w:t>
      </w:r>
      <w:bookmarkEnd w:id="60"/>
      <w:r>
        <w:rPr>
          <w:rFonts w:cs="Arial" w:ascii="Arial" w:hAnsi="Arial"/>
          <w:b/>
          <w:bCs/>
          <w:sz w:val="24"/>
          <w:szCs w:val="24"/>
        </w:rPr>
        <w:t>:</w:t>
      </w:r>
    </w:p>
    <w:p>
      <w:pPr>
        <w:pStyle w:val="PadroLTGliederung1"/>
        <w:spacing w:lineRule="auto" w:line="360" w:before="120" w:after="120"/>
        <w:ind w:firstLine="567"/>
        <w:jc w:val="both"/>
        <w:rPr>
          <w:rFonts w:ascii="Arial" w:hAnsi="Arial" w:cs="Arial"/>
          <w:sz w:val="24"/>
          <w:szCs w:val="24"/>
        </w:rPr>
      </w:pPr>
      <w:r>
        <w:rPr>
          <w:rFonts w:cs="Arial" w:ascii="Arial" w:hAnsi="Arial"/>
          <w:sz w:val="24"/>
          <w:szCs w:val="24"/>
        </w:rPr>
        <w:t>O agendamento de avaliação inicial do SISREG será bloqueado, utilizando-se no máximo 20% das cotas, que serão destinadas a este fim, quando houver reposição por BO e orçamento.</w:t>
      </w:r>
    </w:p>
    <w:p>
      <w:pPr>
        <w:pStyle w:val="PadroLTGliederung1"/>
        <w:spacing w:lineRule="auto" w:line="360" w:before="120" w:after="120"/>
        <w:ind w:firstLine="567"/>
        <w:jc w:val="both"/>
        <w:rPr/>
      </w:pPr>
      <w:r>
        <w:rPr>
          <w:rFonts w:cs="Arial" w:ascii="Arial" w:hAnsi="Arial"/>
          <w:sz w:val="24"/>
          <w:szCs w:val="24"/>
        </w:rPr>
        <w:t>O agendamento da avaliação inicial e dos casos de reposição por BO ou orçamento serão realizadas pela Secretaria Municipal de Saúde ou pela Regional de Saúde, conforme pactuação na CIB.</w:t>
      </w:r>
    </w:p>
    <w:p>
      <w:pPr>
        <w:pStyle w:val="PadroLTGliederung1"/>
        <w:spacing w:lineRule="auto" w:line="360" w:before="120" w:after="120"/>
        <w:ind w:firstLine="567"/>
        <w:jc w:val="both"/>
        <w:rPr/>
      </w:pPr>
      <w:r>
        <w:rPr/>
      </w:r>
    </w:p>
    <w:p>
      <w:pPr>
        <w:pStyle w:val="PadroLTGliederung1"/>
        <w:spacing w:lineRule="auto" w:line="360" w:before="120" w:after="120"/>
        <w:jc w:val="both"/>
        <w:rPr>
          <w:rFonts w:ascii="Arial" w:hAnsi="Arial" w:cs="Arial"/>
          <w:b/>
          <w:b/>
          <w:bCs/>
          <w:sz w:val="24"/>
          <w:szCs w:val="24"/>
        </w:rPr>
      </w:pPr>
      <w:r>
        <w:rPr>
          <w:rFonts w:cs="Arial" w:ascii="Arial" w:hAnsi="Arial"/>
          <w:b/>
          <w:bCs/>
          <w:sz w:val="24"/>
          <w:szCs w:val="24"/>
        </w:rPr>
        <w:t>O encaminhamento do processo se dará da seguinte forma:</w:t>
      </w:r>
    </w:p>
    <w:p>
      <w:pPr>
        <w:pStyle w:val="PadroLTGliederung1"/>
        <w:numPr>
          <w:ilvl w:val="0"/>
          <w:numId w:val="9"/>
        </w:numPr>
        <w:spacing w:lineRule="auto" w:line="360" w:before="120" w:after="120"/>
        <w:ind w:left="1134" w:hanging="567"/>
        <w:jc w:val="both"/>
        <w:rPr>
          <w:rFonts w:ascii="Arial" w:hAnsi="Arial" w:cs="Arial"/>
          <w:sz w:val="24"/>
          <w:szCs w:val="24"/>
        </w:rPr>
      </w:pPr>
      <w:r>
        <w:rPr>
          <w:rFonts w:cs="Arial" w:ascii="Arial" w:hAnsi="Arial"/>
          <w:sz w:val="24"/>
          <w:szCs w:val="24"/>
        </w:rPr>
        <w:t>Encaminhar os agendamentos realizados durante o mês, junto com os processos, para a Regional de Saúde,</w:t>
      </w:r>
    </w:p>
    <w:p>
      <w:pPr>
        <w:pStyle w:val="PadroLTGliederung1"/>
        <w:numPr>
          <w:ilvl w:val="0"/>
          <w:numId w:val="9"/>
        </w:numPr>
        <w:spacing w:lineRule="auto" w:line="360" w:before="120" w:after="120"/>
        <w:ind w:left="1134" w:hanging="567"/>
        <w:jc w:val="both"/>
        <w:rPr>
          <w:rFonts w:ascii="Arial" w:hAnsi="Arial" w:cs="Arial"/>
          <w:sz w:val="24"/>
          <w:szCs w:val="24"/>
        </w:rPr>
      </w:pPr>
      <w:r>
        <w:rPr>
          <w:rFonts w:cs="Arial" w:ascii="Arial" w:hAnsi="Arial"/>
          <w:sz w:val="24"/>
          <w:szCs w:val="24"/>
        </w:rPr>
        <w:t>Encaminhar as reposições de AASI para a Regional de saúde por meio de ofício, informando o número de avaliações iniciais que foram bloqueadas para realizar as reposições,</w:t>
      </w:r>
    </w:p>
    <w:p>
      <w:pPr>
        <w:pStyle w:val="PadroLTGliederung1"/>
        <w:numPr>
          <w:ilvl w:val="0"/>
          <w:numId w:val="9"/>
        </w:numPr>
        <w:spacing w:lineRule="auto" w:line="360" w:before="120" w:after="120"/>
        <w:ind w:left="1134" w:hanging="567"/>
        <w:jc w:val="both"/>
        <w:rPr>
          <w:rFonts w:ascii="Arial" w:hAnsi="Arial" w:cs="Arial"/>
          <w:sz w:val="24"/>
          <w:szCs w:val="24"/>
        </w:rPr>
      </w:pPr>
      <w:r>
        <w:rPr>
          <w:rFonts w:cs="Arial" w:ascii="Arial" w:hAnsi="Arial"/>
          <w:sz w:val="24"/>
          <w:szCs w:val="24"/>
        </w:rPr>
        <w:t>Informar o número e nome dos usuários que estão em fila de espera para avaliação inicial e para a reposição de AASI.</w:t>
      </w:r>
    </w:p>
    <w:p>
      <w:pPr>
        <w:pStyle w:val="PadroLTGliederung1"/>
        <w:spacing w:lineRule="auto" w:line="360" w:before="120" w:after="120"/>
        <w:jc w:val="both"/>
        <w:rPr>
          <w:rFonts w:ascii="Arial" w:hAnsi="Arial" w:cs="Arial"/>
          <w:sz w:val="24"/>
          <w:szCs w:val="24"/>
        </w:rPr>
      </w:pPr>
      <w:r>
        <w:rPr>
          <w:rFonts w:cs="Arial" w:ascii="Arial" w:hAnsi="Arial"/>
          <w:sz w:val="24"/>
          <w:szCs w:val="24"/>
        </w:rPr>
      </w:r>
    </w:p>
    <w:p>
      <w:pPr>
        <w:pStyle w:val="PadroLTGliederung1"/>
        <w:spacing w:lineRule="auto" w:line="360" w:before="120" w:after="120"/>
        <w:jc w:val="both"/>
        <w:rPr>
          <w:rFonts w:ascii="Arial" w:hAnsi="Arial" w:cs="Arial"/>
          <w:sz w:val="24"/>
          <w:szCs w:val="24"/>
        </w:rPr>
      </w:pPr>
      <w:r>
        <w:rPr>
          <w:rFonts w:cs="Arial" w:ascii="Arial" w:hAnsi="Arial"/>
          <w:sz w:val="24"/>
          <w:szCs w:val="24"/>
        </w:rPr>
        <w:t xml:space="preserve">São atribuições e competências da </w:t>
      </w:r>
      <w:r>
        <w:rPr>
          <w:rFonts w:cs="Arial" w:ascii="Arial" w:hAnsi="Arial"/>
          <w:b/>
          <w:bCs/>
          <w:sz w:val="24"/>
          <w:szCs w:val="24"/>
        </w:rPr>
        <w:t xml:space="preserve">REGIONAL DE SAÚDE </w:t>
      </w:r>
    </w:p>
    <w:p>
      <w:pPr>
        <w:pStyle w:val="PadroLTGliederung1"/>
        <w:numPr>
          <w:ilvl w:val="0"/>
          <w:numId w:val="36"/>
        </w:numPr>
        <w:spacing w:lineRule="auto" w:line="360" w:before="120" w:after="120"/>
        <w:ind w:left="1134" w:hanging="567"/>
        <w:jc w:val="both"/>
        <w:rPr>
          <w:rFonts w:ascii="Arial" w:hAnsi="Arial" w:cs="Arial"/>
          <w:sz w:val="24"/>
          <w:szCs w:val="24"/>
        </w:rPr>
      </w:pPr>
      <w:r>
        <w:rPr>
          <w:rFonts w:cs="Arial" w:ascii="Arial" w:hAnsi="Arial"/>
          <w:sz w:val="24"/>
          <w:szCs w:val="24"/>
        </w:rPr>
        <w:t>Receber os processos advindos da Secretaria Municipal de Saúde;</w:t>
      </w:r>
    </w:p>
    <w:p>
      <w:pPr>
        <w:pStyle w:val="PadroLTGliederung1"/>
        <w:numPr>
          <w:ilvl w:val="0"/>
          <w:numId w:val="36"/>
        </w:numPr>
        <w:spacing w:lineRule="auto" w:line="360" w:before="120" w:after="120"/>
        <w:ind w:left="1134" w:hanging="567"/>
        <w:jc w:val="both"/>
        <w:rPr>
          <w:rFonts w:ascii="Arial" w:hAnsi="Arial" w:cs="Arial"/>
          <w:sz w:val="24"/>
          <w:szCs w:val="24"/>
        </w:rPr>
      </w:pPr>
      <w:r>
        <w:rPr>
          <w:rFonts w:cs="Arial" w:ascii="Arial" w:hAnsi="Arial"/>
          <w:sz w:val="24"/>
          <w:szCs w:val="24"/>
        </w:rPr>
        <w:t>Verificar se os processos estão com todos os documentos exigidos para a abertura de processo ou para reposição por BO ou orçamento;</w:t>
      </w:r>
    </w:p>
    <w:p>
      <w:pPr>
        <w:pStyle w:val="PadroLTGliederung1"/>
        <w:numPr>
          <w:ilvl w:val="0"/>
          <w:numId w:val="36"/>
        </w:numPr>
        <w:spacing w:lineRule="auto" w:line="360" w:before="120" w:after="120"/>
        <w:ind w:left="1134" w:hanging="567"/>
        <w:jc w:val="both"/>
        <w:rPr>
          <w:rFonts w:ascii="Arial" w:hAnsi="Arial" w:cs="Arial"/>
          <w:sz w:val="24"/>
          <w:szCs w:val="24"/>
        </w:rPr>
      </w:pPr>
      <w:r>
        <w:rPr>
          <w:rFonts w:cs="Arial" w:ascii="Arial" w:hAnsi="Arial"/>
          <w:sz w:val="24"/>
          <w:szCs w:val="24"/>
        </w:rPr>
        <w:t>Agendar o usuário conforme cota de cada município;</w:t>
      </w:r>
    </w:p>
    <w:p>
      <w:pPr>
        <w:pStyle w:val="PadroLTGliederung1"/>
        <w:numPr>
          <w:ilvl w:val="0"/>
          <w:numId w:val="36"/>
        </w:numPr>
        <w:spacing w:lineRule="auto" w:line="360" w:before="120" w:after="120"/>
        <w:ind w:left="1134" w:hanging="567"/>
        <w:jc w:val="both"/>
        <w:rPr>
          <w:rFonts w:ascii="Arial" w:hAnsi="Arial" w:cs="Arial"/>
          <w:sz w:val="24"/>
          <w:szCs w:val="24"/>
        </w:rPr>
      </w:pPr>
      <w:r>
        <w:rPr>
          <w:rFonts w:cs="Arial" w:ascii="Arial" w:hAnsi="Arial"/>
          <w:sz w:val="24"/>
          <w:szCs w:val="24"/>
        </w:rPr>
        <w:t>Verificar o cumprimento da fila de espera pelo município;</w:t>
      </w:r>
    </w:p>
    <w:p>
      <w:pPr>
        <w:pStyle w:val="PadroLTGliederung1"/>
        <w:numPr>
          <w:ilvl w:val="0"/>
          <w:numId w:val="36"/>
        </w:numPr>
        <w:spacing w:lineRule="auto" w:line="360" w:before="120" w:after="120"/>
        <w:ind w:left="1134" w:hanging="567"/>
        <w:jc w:val="both"/>
        <w:rPr>
          <w:rFonts w:ascii="Arial" w:hAnsi="Arial" w:cs="Arial"/>
          <w:sz w:val="24"/>
          <w:szCs w:val="24"/>
        </w:rPr>
      </w:pPr>
      <w:r>
        <w:rPr>
          <w:rFonts w:cs="Arial" w:ascii="Arial" w:hAnsi="Arial"/>
          <w:sz w:val="24"/>
          <w:szCs w:val="24"/>
        </w:rPr>
        <w:t>Conferir se a reposição de AASI por orçamento ou BO está de acordo com as normas estabelecidas nestas Diretrizes;</w:t>
      </w:r>
    </w:p>
    <w:p>
      <w:pPr>
        <w:pStyle w:val="PadroLTGliederung1"/>
        <w:numPr>
          <w:ilvl w:val="0"/>
          <w:numId w:val="36"/>
        </w:numPr>
        <w:spacing w:lineRule="auto" w:line="360" w:before="120" w:after="120"/>
        <w:ind w:left="1134" w:hanging="567"/>
        <w:jc w:val="both"/>
        <w:rPr>
          <w:rFonts w:ascii="Arial" w:hAnsi="Arial" w:cs="Arial"/>
          <w:sz w:val="24"/>
          <w:szCs w:val="24"/>
        </w:rPr>
      </w:pPr>
      <w:r>
        <w:rPr>
          <w:rFonts w:cs="Arial" w:ascii="Arial" w:hAnsi="Arial"/>
          <w:sz w:val="24"/>
          <w:szCs w:val="24"/>
        </w:rPr>
        <w:t>Encaminhar mensalmente os agendamentos do mês e os processos de seus municípios para o Gestor do Serviço de sua referência;</w:t>
      </w:r>
    </w:p>
    <w:p>
      <w:pPr>
        <w:pStyle w:val="PadroLTGliederung1"/>
        <w:numPr>
          <w:ilvl w:val="0"/>
          <w:numId w:val="36"/>
        </w:numPr>
        <w:spacing w:lineRule="auto" w:line="360" w:before="120" w:after="120"/>
        <w:ind w:left="1134" w:hanging="567"/>
        <w:jc w:val="both"/>
        <w:rPr>
          <w:rFonts w:ascii="Arial" w:hAnsi="Arial" w:cs="Arial"/>
          <w:sz w:val="24"/>
          <w:szCs w:val="24"/>
        </w:rPr>
      </w:pPr>
      <w:r>
        <w:rPr>
          <w:rFonts w:cs="Arial" w:ascii="Arial" w:hAnsi="Arial"/>
          <w:sz w:val="24"/>
          <w:szCs w:val="24"/>
        </w:rPr>
        <w:t>Encaminhar trimestralmente a lista da fila de espera de sua referência para a Coordenação Estadual da Área Técnica da Saúde da Pessoa com Deficiência;</w:t>
      </w:r>
    </w:p>
    <w:p>
      <w:pPr>
        <w:pStyle w:val="PadroLTGliederung1"/>
        <w:numPr>
          <w:ilvl w:val="0"/>
          <w:numId w:val="36"/>
        </w:numPr>
        <w:spacing w:lineRule="auto" w:line="360" w:before="120" w:after="120"/>
        <w:ind w:left="1134" w:hanging="567"/>
        <w:jc w:val="both"/>
        <w:rPr>
          <w:rFonts w:ascii="Arial" w:hAnsi="Arial" w:cs="Arial"/>
          <w:sz w:val="24"/>
          <w:szCs w:val="24"/>
        </w:rPr>
      </w:pPr>
      <w:r>
        <w:rPr>
          <w:rFonts w:cs="Arial" w:ascii="Arial" w:hAnsi="Arial"/>
          <w:sz w:val="24"/>
          <w:szCs w:val="24"/>
        </w:rPr>
        <w:t>Enviar ao Município de origem os agendamentos do mês para que sejam avisados os usuários e providenciado o transporte, quando necessário;</w:t>
      </w:r>
    </w:p>
    <w:p>
      <w:pPr>
        <w:pStyle w:val="PadroLTGliederung1"/>
        <w:numPr>
          <w:ilvl w:val="0"/>
          <w:numId w:val="36"/>
        </w:numPr>
        <w:spacing w:lineRule="auto" w:line="360" w:before="120" w:after="120"/>
        <w:ind w:left="1134" w:hanging="567"/>
        <w:jc w:val="both"/>
        <w:rPr>
          <w:rFonts w:ascii="Arial" w:hAnsi="Arial" w:cs="Arial"/>
          <w:sz w:val="24"/>
          <w:szCs w:val="24"/>
        </w:rPr>
      </w:pPr>
      <w:r>
        <w:rPr>
          <w:rFonts w:cs="Arial" w:ascii="Arial" w:hAnsi="Arial"/>
          <w:sz w:val="24"/>
          <w:szCs w:val="24"/>
        </w:rPr>
        <w:t>Fiscalizar se os municípios estão realizando as terapias dos usuários de AASI encaminhados pela sua referência, após o prazo de realização no SASA, e quando necessário</w:t>
      </w:r>
      <w:bookmarkStart w:id="61" w:name="__DdeLink__7251_1762657321"/>
      <w:bookmarkEnd w:id="61"/>
      <w:r>
        <w:rPr>
          <w:rFonts w:cs="Arial" w:ascii="Arial" w:hAnsi="Arial"/>
          <w:sz w:val="24"/>
          <w:szCs w:val="24"/>
        </w:rPr>
        <w:t>;</w:t>
      </w:r>
    </w:p>
    <w:p>
      <w:pPr>
        <w:pStyle w:val="PadroLTGliederung1"/>
        <w:numPr>
          <w:ilvl w:val="0"/>
          <w:numId w:val="36"/>
        </w:numPr>
        <w:spacing w:lineRule="auto" w:line="360" w:before="120" w:after="120"/>
        <w:ind w:left="1134" w:hanging="567"/>
        <w:jc w:val="both"/>
        <w:rPr>
          <w:rFonts w:ascii="Arial" w:hAnsi="Arial" w:cs="Arial"/>
          <w:sz w:val="24"/>
          <w:szCs w:val="24"/>
        </w:rPr>
      </w:pPr>
      <w:r>
        <w:rPr>
          <w:rFonts w:cs="Arial" w:ascii="Arial" w:hAnsi="Arial"/>
          <w:sz w:val="24"/>
          <w:szCs w:val="24"/>
        </w:rPr>
        <w:t xml:space="preserve">Seguir a fila de espera e cumprir as cotas de avaliação inicial e reposição por BO e orçamento conforme preconiza a distribuição estabelecida no </w:t>
      </w:r>
      <w:r>
        <w:rPr>
          <w:rFonts w:eastAsia="SimSun" w:cs="Arial" w:ascii="Arial" w:hAnsi="Arial"/>
          <w:bCs/>
          <w:sz w:val="24"/>
          <w:szCs w:val="24"/>
          <w:lang w:bidi="hi-IN"/>
        </w:rPr>
        <w:t>Termo de Compromisso de Garantia de Acesso à Assistência Ambulatorial em Saúde Auditiva.</w:t>
      </w:r>
    </w:p>
    <w:p>
      <w:pPr>
        <w:pStyle w:val="Padro"/>
        <w:spacing w:lineRule="auto" w:line="360" w:before="120" w:after="120"/>
        <w:ind w:firstLine="567"/>
        <w:jc w:val="both"/>
        <w:rPr>
          <w:rFonts w:ascii="Arial" w:hAnsi="Arial" w:cs="Arial"/>
          <w:sz w:val="24"/>
          <w:szCs w:val="24"/>
        </w:rPr>
      </w:pPr>
      <w:r>
        <w:rPr>
          <w:rFonts w:cs="Arial" w:ascii="Arial" w:hAnsi="Arial"/>
          <w:sz w:val="24"/>
          <w:szCs w:val="24"/>
        </w:rPr>
        <w:t xml:space="preserve">São atribuições e competências do </w:t>
      </w:r>
      <w:r>
        <w:rPr>
          <w:rFonts w:cs="Arial" w:ascii="Arial" w:hAnsi="Arial"/>
          <w:b/>
          <w:bCs/>
          <w:sz w:val="24"/>
          <w:szCs w:val="24"/>
        </w:rPr>
        <w:t>GESTOR do Serviço Ambulatorial de Saúde Auditiva (SASA):</w:t>
      </w:r>
    </w:p>
    <w:p>
      <w:pPr>
        <w:pStyle w:val="Padro"/>
        <w:numPr>
          <w:ilvl w:val="0"/>
          <w:numId w:val="37"/>
        </w:numPr>
        <w:spacing w:lineRule="auto" w:line="360" w:before="120" w:after="120"/>
        <w:jc w:val="both"/>
        <w:rPr>
          <w:rFonts w:ascii="Arial" w:hAnsi="Arial" w:cs="Arial"/>
          <w:sz w:val="24"/>
          <w:szCs w:val="24"/>
        </w:rPr>
      </w:pPr>
      <w:r>
        <w:rPr>
          <w:rFonts w:cs="Arial" w:ascii="Arial" w:hAnsi="Arial"/>
          <w:sz w:val="24"/>
          <w:szCs w:val="24"/>
        </w:rPr>
        <w:t>Receber os processos de suas referências, juntamente com a folha do SISREG;</w:t>
      </w:r>
    </w:p>
    <w:p>
      <w:pPr>
        <w:pStyle w:val="Padro"/>
        <w:numPr>
          <w:ilvl w:val="0"/>
          <w:numId w:val="37"/>
        </w:numPr>
        <w:spacing w:lineRule="auto" w:line="360" w:before="120" w:after="120"/>
        <w:jc w:val="both"/>
        <w:rPr>
          <w:rFonts w:ascii="Arial" w:hAnsi="Arial" w:cs="Arial"/>
          <w:sz w:val="24"/>
          <w:szCs w:val="24"/>
        </w:rPr>
      </w:pPr>
      <w:r>
        <w:rPr>
          <w:rFonts w:cs="Arial" w:ascii="Arial" w:hAnsi="Arial"/>
          <w:sz w:val="24"/>
          <w:szCs w:val="24"/>
        </w:rPr>
        <w:t>Cadastrar no Sistema de Cadastro dos Serviços Ambulatorial e Hospitalar de Saúde Auditiva, os usuários com as referidas datas dos agendamentos;</w:t>
      </w:r>
    </w:p>
    <w:p>
      <w:pPr>
        <w:pStyle w:val="Padro"/>
        <w:numPr>
          <w:ilvl w:val="0"/>
          <w:numId w:val="37"/>
        </w:numPr>
        <w:spacing w:lineRule="auto" w:line="360" w:before="120" w:after="120"/>
        <w:jc w:val="both"/>
        <w:rPr>
          <w:rFonts w:ascii="Arial" w:hAnsi="Arial" w:cs="Arial"/>
          <w:sz w:val="24"/>
          <w:szCs w:val="24"/>
        </w:rPr>
      </w:pPr>
      <w:r>
        <w:rPr>
          <w:rFonts w:cs="Arial" w:ascii="Arial" w:hAnsi="Arial"/>
          <w:sz w:val="24"/>
          <w:szCs w:val="24"/>
        </w:rPr>
        <w:t>Imprimir o relatório do Sistema de Cadastro dos Serviços Ambulatorial e Hospitalar de Saúde Auditiva para enviar ao SASA;</w:t>
      </w:r>
    </w:p>
    <w:p>
      <w:pPr>
        <w:pStyle w:val="Padro"/>
        <w:numPr>
          <w:ilvl w:val="0"/>
          <w:numId w:val="37"/>
        </w:numPr>
        <w:spacing w:lineRule="auto" w:line="360" w:before="120" w:after="120"/>
        <w:jc w:val="both"/>
        <w:rPr>
          <w:rFonts w:ascii="Arial" w:hAnsi="Arial" w:cs="Arial"/>
          <w:sz w:val="24"/>
          <w:szCs w:val="24"/>
        </w:rPr>
      </w:pPr>
      <w:r>
        <w:rPr>
          <w:rFonts w:cs="Arial" w:ascii="Arial" w:hAnsi="Arial"/>
          <w:sz w:val="24"/>
          <w:szCs w:val="24"/>
        </w:rPr>
        <w:t>Encam</w:t>
      </w:r>
      <w:r>
        <w:rPr>
          <w:rFonts w:cs="Arial" w:ascii="Arial" w:hAnsi="Arial"/>
          <w:sz w:val="24"/>
          <w:szCs w:val="24"/>
          <w:shd w:fill="FFFFFF" w:val="clear"/>
        </w:rPr>
        <w:t>inhar para o SASA o relató</w:t>
      </w:r>
      <w:r>
        <w:rPr>
          <w:rFonts w:cs="Arial" w:ascii="Arial" w:hAnsi="Arial"/>
          <w:sz w:val="24"/>
          <w:szCs w:val="24"/>
        </w:rPr>
        <w:t>rio do Sistema de Cadastro dos Serviços Ambulatorial e Hospitalar de Saúde Auditiva, acompanhado dos processos dos usuários para serem atendidos, bem como seu agendamento;</w:t>
      </w:r>
    </w:p>
    <w:p>
      <w:pPr>
        <w:pStyle w:val="Padro"/>
        <w:numPr>
          <w:ilvl w:val="0"/>
          <w:numId w:val="37"/>
        </w:numPr>
        <w:spacing w:lineRule="auto" w:line="360" w:before="120" w:after="120"/>
        <w:jc w:val="both"/>
        <w:rPr>
          <w:rFonts w:ascii="Arial" w:hAnsi="Arial" w:cs="Arial"/>
          <w:sz w:val="24"/>
          <w:szCs w:val="24"/>
        </w:rPr>
      </w:pPr>
      <w:r>
        <w:rPr>
          <w:rFonts w:cs="Arial" w:ascii="Arial" w:hAnsi="Arial"/>
          <w:sz w:val="24"/>
          <w:szCs w:val="24"/>
        </w:rPr>
        <w:t>No retorno dos processos encaminhados do SASA ao Gestor do Serviço nos casos de avaliação inicial e seleção, deverá:</w:t>
      </w:r>
    </w:p>
    <w:p>
      <w:pPr>
        <w:pStyle w:val="Padro"/>
        <w:spacing w:lineRule="auto" w:line="360" w:before="120" w:after="120"/>
        <w:ind w:left="1097" w:hanging="0"/>
        <w:jc w:val="both"/>
        <w:rPr>
          <w:rFonts w:ascii="Arial" w:hAnsi="Arial" w:cs="Arial"/>
          <w:sz w:val="24"/>
          <w:szCs w:val="24"/>
        </w:rPr>
      </w:pPr>
      <w:r>
        <w:rPr>
          <w:rFonts w:cs="Arial" w:ascii="Arial" w:hAnsi="Arial"/>
          <w:sz w:val="24"/>
          <w:szCs w:val="24"/>
        </w:rPr>
      </w:r>
    </w:p>
    <w:p>
      <w:pPr>
        <w:pStyle w:val="Padro"/>
        <w:numPr>
          <w:ilvl w:val="0"/>
          <w:numId w:val="38"/>
        </w:numPr>
        <w:spacing w:lineRule="auto" w:line="360" w:before="120" w:after="120"/>
        <w:ind w:left="1134" w:hanging="567"/>
        <w:jc w:val="both"/>
        <w:rPr>
          <w:rFonts w:ascii="Arial" w:hAnsi="Arial" w:cs="Arial"/>
          <w:sz w:val="24"/>
          <w:szCs w:val="24"/>
        </w:rPr>
      </w:pPr>
      <w:r>
        <w:rPr>
          <w:rFonts w:cs="Arial" w:ascii="Arial" w:hAnsi="Arial"/>
          <w:sz w:val="24"/>
          <w:szCs w:val="24"/>
        </w:rPr>
        <w:t>Conferir os processos encaminhados do Prestador;</w:t>
      </w:r>
    </w:p>
    <w:p>
      <w:pPr>
        <w:pStyle w:val="Padro"/>
        <w:numPr>
          <w:ilvl w:val="0"/>
          <w:numId w:val="38"/>
        </w:numPr>
        <w:spacing w:lineRule="auto" w:line="360" w:before="120" w:after="120"/>
        <w:ind w:left="1134" w:hanging="567"/>
        <w:jc w:val="both"/>
        <w:rPr>
          <w:rFonts w:ascii="Arial" w:hAnsi="Arial" w:cs="Arial"/>
          <w:sz w:val="24"/>
          <w:szCs w:val="24"/>
        </w:rPr>
      </w:pPr>
      <w:r>
        <w:rPr>
          <w:rFonts w:cs="Arial" w:ascii="Arial" w:hAnsi="Arial"/>
          <w:sz w:val="24"/>
          <w:szCs w:val="24"/>
        </w:rPr>
        <w:t>Realizar a regulação conforme estas Diretrizes;</w:t>
      </w:r>
    </w:p>
    <w:p>
      <w:pPr>
        <w:pStyle w:val="Padro"/>
        <w:numPr>
          <w:ilvl w:val="0"/>
          <w:numId w:val="38"/>
        </w:numPr>
        <w:spacing w:lineRule="auto" w:line="360" w:before="120" w:after="120"/>
        <w:ind w:left="1134" w:hanging="567"/>
        <w:jc w:val="both"/>
        <w:rPr>
          <w:rFonts w:ascii="Arial" w:hAnsi="Arial" w:cs="Arial"/>
          <w:sz w:val="24"/>
          <w:szCs w:val="24"/>
        </w:rPr>
      </w:pPr>
      <w:r>
        <w:rPr>
          <w:rFonts w:cs="Arial" w:ascii="Arial" w:hAnsi="Arial"/>
          <w:sz w:val="24"/>
          <w:szCs w:val="24"/>
        </w:rPr>
        <w:t>Conferir os processos autorizados e não autorizad</w:t>
      </w:r>
      <w:r>
        <w:rPr>
          <w:rFonts w:cs="Arial" w:ascii="Arial" w:hAnsi="Arial"/>
          <w:sz w:val="24"/>
          <w:szCs w:val="24"/>
          <w:shd w:fill="FFFFFF" w:val="clear"/>
        </w:rPr>
        <w:t xml:space="preserve">os; </w:t>
      </w:r>
    </w:p>
    <w:p>
      <w:pPr>
        <w:pStyle w:val="Padro"/>
        <w:numPr>
          <w:ilvl w:val="0"/>
          <w:numId w:val="38"/>
        </w:numPr>
        <w:spacing w:lineRule="auto" w:line="360" w:before="120" w:after="120"/>
        <w:ind w:left="1134" w:hanging="567"/>
        <w:jc w:val="both"/>
        <w:rPr>
          <w:rFonts w:ascii="Arial" w:hAnsi="Arial" w:eastAsia="Arial" w:cs="Arial"/>
          <w:sz w:val="24"/>
          <w:szCs w:val="24"/>
        </w:rPr>
      </w:pPr>
      <w:r>
        <w:rPr>
          <w:rFonts w:cs="Arial" w:ascii="Arial" w:hAnsi="Arial"/>
          <w:sz w:val="24"/>
          <w:szCs w:val="24"/>
        </w:rPr>
        <w:t>Inserir no Sistema de Cadastro dos Serviços Ambulatorial e Hospitalar de Saúde auditiva todos os códigos dos procedimentos autorizados;</w:t>
      </w:r>
    </w:p>
    <w:p>
      <w:pPr>
        <w:pStyle w:val="Padro"/>
        <w:numPr>
          <w:ilvl w:val="0"/>
          <w:numId w:val="38"/>
        </w:numPr>
        <w:spacing w:lineRule="auto" w:line="360" w:before="120" w:after="120"/>
        <w:ind w:left="1134" w:hanging="567"/>
        <w:jc w:val="both"/>
        <w:rPr/>
      </w:pPr>
      <w:r>
        <w:rPr>
          <w:rFonts w:eastAsia="Arial" w:cs="Arial" w:ascii="Arial" w:hAnsi="Arial"/>
          <w:sz w:val="24"/>
          <w:szCs w:val="24"/>
        </w:rPr>
        <w:t>Inserir</w:t>
      </w:r>
      <w:r>
        <w:rPr>
          <w:rFonts w:cs="Arial" w:ascii="Arial" w:hAnsi="Arial"/>
          <w:sz w:val="24"/>
          <w:szCs w:val="24"/>
        </w:rPr>
        <w:t xml:space="preserve"> nos laudos os números e as datas de validade das APACs no Sistema de Cadastro dos Serviços Ambulatorial e Hospitalar de Saúde Auditiva;</w:t>
      </w:r>
    </w:p>
    <w:p>
      <w:pPr>
        <w:pStyle w:val="Padro"/>
        <w:numPr>
          <w:ilvl w:val="0"/>
          <w:numId w:val="38"/>
        </w:numPr>
        <w:spacing w:lineRule="auto" w:line="360" w:before="120" w:after="120"/>
        <w:ind w:left="1134" w:hanging="567"/>
        <w:jc w:val="both"/>
        <w:rPr/>
      </w:pPr>
      <w:r>
        <w:rPr>
          <w:rFonts w:cs="Arial" w:ascii="Arial" w:hAnsi="Arial"/>
          <w:sz w:val="24"/>
          <w:szCs w:val="24"/>
        </w:rPr>
        <w:t>Arquivar os laudos e os controles originais de frequência;</w:t>
      </w:r>
    </w:p>
    <w:p>
      <w:pPr>
        <w:pStyle w:val="Padro"/>
        <w:numPr>
          <w:ilvl w:val="0"/>
          <w:numId w:val="38"/>
        </w:numPr>
        <w:spacing w:lineRule="auto" w:line="360" w:before="120" w:after="120"/>
        <w:ind w:left="1134" w:hanging="567"/>
        <w:jc w:val="both"/>
        <w:rPr>
          <w:rFonts w:ascii="Arial" w:hAnsi="Arial" w:cs="Arial"/>
          <w:sz w:val="24"/>
          <w:szCs w:val="24"/>
        </w:rPr>
      </w:pPr>
      <w:r>
        <w:rPr>
          <w:rFonts w:cs="Arial" w:ascii="Arial" w:hAnsi="Arial"/>
          <w:sz w:val="24"/>
          <w:szCs w:val="24"/>
        </w:rPr>
        <w:t>Conferir as cotas por Município/Regional, e se o Prestador está cumprindo a agenda encaminhada pelo Gestor;</w:t>
      </w:r>
    </w:p>
    <w:p>
      <w:pPr>
        <w:pStyle w:val="Padro"/>
        <w:numPr>
          <w:ilvl w:val="0"/>
          <w:numId w:val="38"/>
        </w:numPr>
        <w:spacing w:lineRule="auto" w:line="360" w:before="120" w:after="120"/>
        <w:ind w:left="1134" w:hanging="567"/>
        <w:jc w:val="both"/>
        <w:rPr>
          <w:rFonts w:ascii="Arial" w:hAnsi="Arial" w:cs="Arial"/>
          <w:sz w:val="24"/>
          <w:szCs w:val="24"/>
        </w:rPr>
      </w:pPr>
      <w:r>
        <w:rPr>
          <w:rFonts w:cs="Arial" w:ascii="Arial" w:hAnsi="Arial"/>
          <w:sz w:val="24"/>
          <w:szCs w:val="24"/>
        </w:rPr>
        <w:t>Conferir o relatório financeiro do Prestador, se o mesmo está atingindo e/ou ultrapassando seu teto financeiro;</w:t>
      </w:r>
    </w:p>
    <w:p>
      <w:pPr>
        <w:pStyle w:val="Padro"/>
        <w:numPr>
          <w:ilvl w:val="0"/>
          <w:numId w:val="38"/>
        </w:numPr>
        <w:spacing w:lineRule="auto" w:line="360" w:before="120" w:after="120"/>
        <w:ind w:left="1134" w:hanging="567"/>
        <w:jc w:val="both"/>
        <w:rPr/>
      </w:pPr>
      <w:r>
        <w:rPr>
          <w:rFonts w:cs="Arial" w:ascii="Arial" w:hAnsi="Arial"/>
          <w:sz w:val="24"/>
          <w:szCs w:val="24"/>
        </w:rPr>
        <w:t>Atender o usuário fora de sua referencia até a necessidade de Reposição, por perda progressiva, B.O. e orçamento;</w:t>
      </w:r>
    </w:p>
    <w:p>
      <w:pPr>
        <w:pStyle w:val="Padro"/>
        <w:numPr>
          <w:ilvl w:val="0"/>
          <w:numId w:val="38"/>
        </w:numPr>
        <w:spacing w:lineRule="auto" w:line="360" w:before="120" w:after="120"/>
        <w:ind w:left="1134" w:hanging="567"/>
        <w:jc w:val="both"/>
        <w:rPr>
          <w:rFonts w:ascii="Arial" w:hAnsi="Arial" w:cs="Arial"/>
          <w:sz w:val="24"/>
          <w:szCs w:val="24"/>
        </w:rPr>
      </w:pPr>
      <w:r>
        <w:rPr>
          <w:rFonts w:cs="Arial" w:ascii="Arial" w:hAnsi="Arial"/>
          <w:sz w:val="24"/>
          <w:szCs w:val="24"/>
        </w:rPr>
        <w:t>Prestar conta às regionais de Referência quanto ao cumprimento da fila e atendimento das cotas;</w:t>
      </w:r>
    </w:p>
    <w:p>
      <w:pPr>
        <w:pStyle w:val="Padro"/>
        <w:numPr>
          <w:ilvl w:val="0"/>
          <w:numId w:val="0"/>
        </w:numPr>
        <w:spacing w:lineRule="auto" w:line="360" w:before="120" w:after="120"/>
        <w:ind w:left="2007" w:hanging="0"/>
        <w:jc w:val="both"/>
        <w:rPr>
          <w:rFonts w:ascii="Arial" w:hAnsi="Arial" w:cs="Arial"/>
          <w:sz w:val="24"/>
          <w:szCs w:val="24"/>
        </w:rPr>
      </w:pPr>
      <w:r>
        <w:rPr>
          <w:rFonts w:cs="Arial" w:ascii="Arial" w:hAnsi="Arial"/>
          <w:sz w:val="24"/>
          <w:szCs w:val="24"/>
        </w:rPr>
      </w:r>
    </w:p>
    <w:p>
      <w:pPr>
        <w:pStyle w:val="Normal"/>
        <w:spacing w:lineRule="auto" w:line="360" w:before="120" w:after="120"/>
        <w:ind w:firstLine="567"/>
        <w:jc w:val="both"/>
        <w:rPr>
          <w:rFonts w:ascii="Arial" w:hAnsi="Arial" w:cs="Arial"/>
          <w:sz w:val="24"/>
          <w:szCs w:val="24"/>
        </w:rPr>
      </w:pPr>
      <w:r>
        <w:rPr>
          <w:rFonts w:cs="Arial" w:ascii="Arial" w:hAnsi="Arial"/>
          <w:sz w:val="24"/>
          <w:szCs w:val="24"/>
        </w:rPr>
        <w:t xml:space="preserve">São atribuições e competências do </w:t>
      </w:r>
      <w:r>
        <w:rPr>
          <w:rFonts w:cs="Arial" w:ascii="Arial" w:hAnsi="Arial"/>
          <w:b/>
          <w:bCs/>
          <w:sz w:val="24"/>
          <w:szCs w:val="24"/>
        </w:rPr>
        <w:t>PRESTADOR</w:t>
      </w:r>
      <w:r>
        <w:rPr>
          <w:rFonts w:cs="Arial" w:ascii="Arial" w:hAnsi="Arial"/>
          <w:sz w:val="24"/>
          <w:szCs w:val="24"/>
        </w:rPr>
        <w:t>:</w:t>
      </w:r>
    </w:p>
    <w:p>
      <w:pPr>
        <w:pStyle w:val="ListParagraph"/>
        <w:numPr>
          <w:ilvl w:val="0"/>
          <w:numId w:val="39"/>
        </w:numPr>
        <w:spacing w:lineRule="auto" w:line="360" w:before="120" w:after="120"/>
        <w:ind w:left="1134" w:hanging="567"/>
        <w:contextualSpacing/>
        <w:jc w:val="both"/>
        <w:rPr>
          <w:rFonts w:ascii="Arial" w:hAnsi="Arial" w:cs="Arial"/>
          <w:sz w:val="24"/>
          <w:szCs w:val="24"/>
        </w:rPr>
      </w:pPr>
      <w:r>
        <w:rPr>
          <w:rFonts w:cs="Arial" w:ascii="Arial" w:hAnsi="Arial"/>
          <w:sz w:val="24"/>
          <w:szCs w:val="24"/>
        </w:rPr>
        <w:t xml:space="preserve">Informar ao Gestor os usuários </w:t>
      </w:r>
      <w:r>
        <w:rPr>
          <w:rFonts w:cs="Arial" w:ascii="Arial" w:hAnsi="Arial"/>
          <w:sz w:val="24"/>
          <w:szCs w:val="24"/>
          <w:shd w:fill="FFFFFF" w:val="clear"/>
        </w:rPr>
        <w:t xml:space="preserve">sem indicação de AASI </w:t>
      </w:r>
      <w:r>
        <w:rPr>
          <w:rFonts w:cs="Arial" w:ascii="Arial" w:hAnsi="Arial"/>
          <w:sz w:val="24"/>
          <w:szCs w:val="24"/>
        </w:rPr>
        <w:t>perda auditiva e contra referenciá-los para a atenção básica;</w:t>
      </w:r>
    </w:p>
    <w:p>
      <w:pPr>
        <w:pStyle w:val="ListParagraph"/>
        <w:numPr>
          <w:ilvl w:val="0"/>
          <w:numId w:val="39"/>
        </w:numPr>
        <w:spacing w:lineRule="auto" w:line="360" w:before="120" w:after="120"/>
        <w:ind w:left="1134" w:hanging="567"/>
        <w:contextualSpacing/>
        <w:jc w:val="both"/>
        <w:rPr>
          <w:rFonts w:ascii="Arial" w:hAnsi="Arial" w:cs="Arial"/>
          <w:sz w:val="24"/>
          <w:szCs w:val="24"/>
        </w:rPr>
      </w:pPr>
      <w:r>
        <w:rPr>
          <w:rFonts w:cs="Arial" w:ascii="Arial" w:hAnsi="Arial"/>
          <w:sz w:val="24"/>
          <w:szCs w:val="24"/>
        </w:rPr>
        <w:t>Informar mensalmente ao Gestor os usuários que estão em terapia fonoaudiológica e o número de sessões já realizadas;</w:t>
      </w:r>
    </w:p>
    <w:p>
      <w:pPr>
        <w:pStyle w:val="ListParagraph"/>
        <w:numPr>
          <w:ilvl w:val="0"/>
          <w:numId w:val="39"/>
        </w:numPr>
        <w:spacing w:lineRule="auto" w:line="360" w:before="120" w:after="120"/>
        <w:ind w:left="1134" w:hanging="567"/>
        <w:contextualSpacing/>
        <w:jc w:val="both"/>
        <w:rPr>
          <w:rFonts w:ascii="Arial" w:hAnsi="Arial" w:cs="Arial"/>
          <w:sz w:val="24"/>
          <w:szCs w:val="24"/>
        </w:rPr>
      </w:pPr>
      <w:r>
        <w:rPr>
          <w:rFonts w:cs="Arial" w:ascii="Arial" w:hAnsi="Arial"/>
          <w:sz w:val="24"/>
          <w:szCs w:val="24"/>
        </w:rPr>
        <w:t>Emitir relatório</w:t>
      </w:r>
      <w:r>
        <w:rPr>
          <w:rFonts w:cs="Arial" w:ascii="Arial" w:hAnsi="Arial"/>
          <w:sz w:val="24"/>
          <w:szCs w:val="24"/>
          <w:shd w:fill="FFFFFF" w:val="clear"/>
        </w:rPr>
        <w:t xml:space="preserve"> mensal fi</w:t>
      </w:r>
      <w:r>
        <w:rPr>
          <w:rFonts w:cs="Arial" w:ascii="Arial" w:hAnsi="Arial"/>
          <w:sz w:val="24"/>
          <w:szCs w:val="24"/>
        </w:rPr>
        <w:t>nanceiro e prestar contas ao Gestor do serviço;</w:t>
      </w:r>
    </w:p>
    <w:p>
      <w:pPr>
        <w:pStyle w:val="ListParagraph"/>
        <w:numPr>
          <w:ilvl w:val="0"/>
          <w:numId w:val="39"/>
        </w:numPr>
        <w:spacing w:lineRule="auto" w:line="360" w:before="120" w:after="120"/>
        <w:ind w:left="1134" w:hanging="567"/>
        <w:contextualSpacing/>
        <w:jc w:val="both"/>
        <w:rPr>
          <w:rFonts w:ascii="Arial" w:hAnsi="Arial" w:cs="Arial"/>
          <w:sz w:val="24"/>
          <w:szCs w:val="24"/>
        </w:rPr>
      </w:pPr>
      <w:r>
        <w:rPr>
          <w:rFonts w:cs="Arial" w:ascii="Arial" w:hAnsi="Arial"/>
          <w:sz w:val="24"/>
          <w:szCs w:val="24"/>
        </w:rPr>
        <w:t>Capacitar profissionais da rede de saúde auditiva em parceria com o gestor e a Secretaria Estadual de Saúde;</w:t>
      </w:r>
    </w:p>
    <w:p>
      <w:pPr>
        <w:pStyle w:val="ListParagraph"/>
        <w:numPr>
          <w:ilvl w:val="0"/>
          <w:numId w:val="39"/>
        </w:numPr>
        <w:spacing w:lineRule="auto" w:line="360" w:before="120" w:after="120"/>
        <w:ind w:left="1134" w:hanging="567"/>
        <w:contextualSpacing/>
        <w:jc w:val="both"/>
        <w:rPr>
          <w:rFonts w:ascii="Arial" w:hAnsi="Arial" w:cs="Arial"/>
          <w:sz w:val="24"/>
          <w:szCs w:val="24"/>
        </w:rPr>
      </w:pPr>
      <w:r>
        <w:rPr>
          <w:rFonts w:cs="Arial" w:ascii="Arial" w:hAnsi="Arial"/>
          <w:sz w:val="24"/>
          <w:szCs w:val="24"/>
        </w:rPr>
        <w:t>Cumprir o Termo de Compromisso e as cotas, bem como as normas técnicas e operacionais do serviço, preconizadas nas diretrizes estaduais.</w:t>
      </w:r>
    </w:p>
    <w:p>
      <w:pPr>
        <w:pStyle w:val="Padro"/>
        <w:spacing w:lineRule="auto" w:line="360" w:before="120" w:after="120"/>
        <w:jc w:val="both"/>
        <w:rPr>
          <w:rFonts w:ascii="Arial" w:hAnsi="Arial" w:cs="Arial"/>
          <w:sz w:val="24"/>
          <w:szCs w:val="24"/>
        </w:rPr>
      </w:pPr>
      <w:r>
        <w:rPr>
          <w:rFonts w:cs="Arial" w:ascii="Arial" w:hAnsi="Arial"/>
          <w:sz w:val="24"/>
          <w:szCs w:val="24"/>
        </w:rPr>
      </w:r>
    </w:p>
    <w:p>
      <w:pPr>
        <w:pStyle w:val="PadroLTGliederung1"/>
        <w:spacing w:lineRule="auto" w:line="360" w:before="120" w:after="120"/>
        <w:ind w:firstLine="567"/>
        <w:jc w:val="both"/>
        <w:rPr>
          <w:rFonts w:ascii="Arial" w:hAnsi="Arial" w:cs="Arial"/>
          <w:sz w:val="24"/>
          <w:szCs w:val="24"/>
        </w:rPr>
      </w:pPr>
      <w:r>
        <w:rPr>
          <w:rFonts w:cs="Arial" w:ascii="Arial" w:hAnsi="Arial"/>
          <w:sz w:val="24"/>
          <w:szCs w:val="24"/>
        </w:rPr>
        <w:t xml:space="preserve">São atribuições e competências da </w:t>
      </w:r>
      <w:r>
        <w:rPr>
          <w:rFonts w:cs="Arial" w:ascii="Arial" w:hAnsi="Arial"/>
          <w:b/>
          <w:bCs/>
          <w:sz w:val="24"/>
          <w:szCs w:val="24"/>
        </w:rPr>
        <w:t>SECRETARIA DE ESTADO DA SAÚDE DE SANTA CATARINA (SES):</w:t>
      </w:r>
    </w:p>
    <w:p>
      <w:pPr>
        <w:pStyle w:val="PadroLTGliederung1"/>
        <w:numPr>
          <w:ilvl w:val="0"/>
          <w:numId w:val="40"/>
        </w:numPr>
        <w:spacing w:lineRule="auto" w:line="360" w:before="120" w:after="120"/>
        <w:ind w:left="1134" w:hanging="567"/>
        <w:jc w:val="both"/>
        <w:rPr>
          <w:rFonts w:ascii="Arial" w:hAnsi="Arial" w:cs="Arial"/>
          <w:sz w:val="24"/>
          <w:szCs w:val="24"/>
        </w:rPr>
      </w:pPr>
      <w:r>
        <w:rPr>
          <w:rFonts w:cs="Arial" w:ascii="Arial" w:hAnsi="Arial"/>
          <w:sz w:val="24"/>
          <w:szCs w:val="24"/>
        </w:rPr>
        <w:t>Controlar, avaliar, auditar e regular os prestadores do SASA;</w:t>
      </w:r>
    </w:p>
    <w:p>
      <w:pPr>
        <w:pStyle w:val="PadroLTGliederung1"/>
        <w:numPr>
          <w:ilvl w:val="0"/>
          <w:numId w:val="40"/>
        </w:numPr>
        <w:spacing w:lineRule="auto" w:line="360" w:before="120" w:after="120"/>
        <w:ind w:left="1134" w:hanging="567"/>
        <w:jc w:val="both"/>
        <w:rPr>
          <w:rFonts w:ascii="Arial" w:hAnsi="Arial" w:cs="Arial"/>
          <w:sz w:val="24"/>
          <w:szCs w:val="24"/>
        </w:rPr>
      </w:pPr>
      <w:r>
        <w:rPr>
          <w:rFonts w:cs="Arial" w:ascii="Arial" w:hAnsi="Arial"/>
          <w:sz w:val="24"/>
          <w:szCs w:val="24"/>
        </w:rPr>
        <w:t>Acompanhar o cumprimento das cotas, do Termo de Compromisso de Garantia de Acesso à Assistência Ambulatorial em Saúde Auditiva, teto financeiro e atendimento das filas pelos gestores e prestadores do SASA;</w:t>
      </w:r>
    </w:p>
    <w:p>
      <w:pPr>
        <w:pStyle w:val="PadroLTGliederung1"/>
        <w:numPr>
          <w:ilvl w:val="0"/>
          <w:numId w:val="40"/>
        </w:numPr>
        <w:spacing w:lineRule="auto" w:line="360" w:before="120" w:after="120"/>
        <w:ind w:left="1134" w:hanging="567"/>
        <w:jc w:val="both"/>
        <w:rPr>
          <w:rFonts w:ascii="Arial" w:hAnsi="Arial" w:cs="Arial"/>
          <w:sz w:val="24"/>
          <w:szCs w:val="24"/>
        </w:rPr>
      </w:pPr>
      <w:r>
        <w:rPr>
          <w:rFonts w:cs="Arial" w:ascii="Arial" w:hAnsi="Arial"/>
          <w:sz w:val="24"/>
          <w:szCs w:val="24"/>
        </w:rPr>
        <w:t>Capacitar os profissionais da rede de saúde auditiva, em parceria com os Serviços Prestadores e gestores;</w:t>
      </w:r>
    </w:p>
    <w:p>
      <w:pPr>
        <w:pStyle w:val="PadroLTGliederung1"/>
        <w:numPr>
          <w:ilvl w:val="0"/>
          <w:numId w:val="40"/>
        </w:numPr>
        <w:spacing w:lineRule="auto" w:line="360" w:before="120" w:after="120"/>
        <w:ind w:left="1134" w:hanging="567"/>
        <w:jc w:val="both"/>
        <w:rPr>
          <w:rFonts w:ascii="Arial" w:hAnsi="Arial" w:cs="Arial"/>
          <w:sz w:val="24"/>
          <w:szCs w:val="24"/>
        </w:rPr>
      </w:pPr>
      <w:r>
        <w:rPr>
          <w:rFonts w:cs="Arial" w:ascii="Arial" w:hAnsi="Arial"/>
          <w:sz w:val="24"/>
          <w:szCs w:val="24"/>
        </w:rPr>
        <w:t>Elaborar material de orientação e informativos de interesse da saúde auditiva;</w:t>
      </w:r>
    </w:p>
    <w:p>
      <w:pPr>
        <w:pStyle w:val="PadroLTGliederung1"/>
        <w:numPr>
          <w:ilvl w:val="0"/>
          <w:numId w:val="40"/>
        </w:numPr>
        <w:spacing w:lineRule="auto" w:line="360" w:before="120" w:after="120"/>
        <w:ind w:left="1134" w:hanging="567"/>
        <w:jc w:val="both"/>
        <w:rPr/>
      </w:pPr>
      <w:r>
        <w:rPr>
          <w:rFonts w:cs="Arial" w:ascii="Arial" w:hAnsi="Arial"/>
          <w:sz w:val="24"/>
          <w:szCs w:val="24"/>
        </w:rPr>
        <w:t>Acompanhar as ações realizadas.</w:t>
      </w:r>
    </w:p>
    <w:p>
      <w:pPr>
        <w:pStyle w:val="PadroLTGliederung1"/>
        <w:spacing w:lineRule="auto" w:line="360" w:before="120" w:after="120"/>
        <w:jc w:val="both"/>
        <w:rPr/>
      </w:pPr>
      <w:r>
        <w:rPr/>
      </w:r>
    </w:p>
    <w:p>
      <w:pPr>
        <w:pStyle w:val="Ttulo2"/>
        <w:rPr/>
      </w:pPr>
      <w:r>
        <w:rPr/>
      </w:r>
    </w:p>
    <w:p>
      <w:pPr>
        <w:pStyle w:val="Ttulo2"/>
        <w:rPr>
          <w:rStyle w:val="Forte1"/>
        </w:rPr>
      </w:pPr>
      <w:bookmarkStart w:id="62" w:name="__RefHeading__2733_41855624"/>
      <w:bookmarkStart w:id="63" w:name="_Toc434344436"/>
      <w:bookmarkStart w:id="64" w:name="_Toc434148354"/>
      <w:bookmarkEnd w:id="62"/>
      <w:bookmarkEnd w:id="63"/>
      <w:bookmarkEnd w:id="64"/>
      <w:r>
        <w:rPr>
          <w:rStyle w:val="Forte1"/>
        </w:rPr>
        <w:t>6.3 Serviço Hospitalar de Saúde Auditiva (SHSA)</w:t>
      </w:r>
    </w:p>
    <w:p>
      <w:pPr>
        <w:pStyle w:val="Corpodetexto"/>
        <w:rPr/>
      </w:pPr>
      <w:r>
        <w:rPr/>
      </w:r>
    </w:p>
    <w:p>
      <w:pPr>
        <w:pStyle w:val="Normal"/>
        <w:spacing w:lineRule="auto" w:line="360" w:before="120" w:after="120"/>
        <w:ind w:firstLine="567"/>
        <w:jc w:val="both"/>
        <w:rPr>
          <w:rFonts w:ascii="Arial" w:hAnsi="Arial" w:cs="Arial"/>
          <w:sz w:val="24"/>
          <w:szCs w:val="24"/>
        </w:rPr>
      </w:pPr>
      <w:r>
        <w:rPr>
          <w:rFonts w:cs="Arial" w:ascii="Arial" w:hAnsi="Arial"/>
          <w:sz w:val="24"/>
          <w:szCs w:val="24"/>
        </w:rPr>
        <w:t>Os usuários com deficiência auditiva, acompanhados no serviço ambulatorial de saúde auditiva (SASA), candidatos a implante coclear e de prótese auditiva ancorada no osso, serão encaminhados para o Serviço Hospitalar de Saúde Auditiva.</w:t>
      </w:r>
    </w:p>
    <w:p>
      <w:pPr>
        <w:pStyle w:val="Normal"/>
        <w:spacing w:lineRule="auto" w:line="360" w:before="120" w:after="120"/>
        <w:ind w:firstLine="567"/>
        <w:jc w:val="both"/>
        <w:rPr>
          <w:rFonts w:ascii="Arial" w:hAnsi="Arial" w:eastAsia="Arial" w:cs="Arial"/>
          <w:sz w:val="24"/>
          <w:szCs w:val="24"/>
        </w:rPr>
      </w:pPr>
      <w:r>
        <w:rPr>
          <w:rFonts w:cs="Arial" w:ascii="Arial" w:hAnsi="Arial"/>
          <w:sz w:val="24"/>
          <w:szCs w:val="24"/>
        </w:rPr>
        <w:t xml:space="preserve">Os critérios de indicação e contraindicação, fluxo do serviço, </w:t>
      </w:r>
      <w:r>
        <w:rPr>
          <w:rFonts w:cs="Arial" w:ascii="Arial" w:hAnsi="Arial"/>
          <w:sz w:val="24"/>
          <w:szCs w:val="24"/>
          <w:shd w:fill="FFFFFF" w:val="clear"/>
        </w:rPr>
        <w:t>bem como terapia fonoaudiológica, descritos a seguir, estão de acordo com a Portaria nº 2.776, de 18 d</w:t>
      </w:r>
      <w:r>
        <w:rPr>
          <w:rFonts w:cs="Arial" w:ascii="Arial" w:hAnsi="Arial"/>
          <w:sz w:val="24"/>
          <w:szCs w:val="24"/>
        </w:rPr>
        <w:t>e dezembro de 2014.</w:t>
      </w:r>
    </w:p>
    <w:p>
      <w:pPr>
        <w:pStyle w:val="Normal"/>
        <w:spacing w:lineRule="auto" w:line="360" w:before="120" w:after="120"/>
        <w:ind w:firstLine="567"/>
        <w:jc w:val="both"/>
        <w:rPr/>
      </w:pPr>
      <w:r>
        <w:rPr>
          <w:rFonts w:eastAsia="Arial" w:cs="Arial" w:ascii="Arial" w:hAnsi="Arial"/>
          <w:sz w:val="24"/>
          <w:szCs w:val="24"/>
        </w:rPr>
        <w:t xml:space="preserve"> </w:t>
      </w:r>
    </w:p>
    <w:p>
      <w:pPr>
        <w:pStyle w:val="Normal"/>
        <w:spacing w:lineRule="auto" w:line="360" w:before="120" w:after="120"/>
        <w:ind w:firstLine="567"/>
        <w:jc w:val="both"/>
        <w:rPr/>
      </w:pPr>
      <w:r>
        <w:rPr/>
      </w:r>
    </w:p>
    <w:p>
      <w:pPr>
        <w:pStyle w:val="Ttulo3"/>
        <w:numPr>
          <w:ilvl w:val="2"/>
          <w:numId w:val="3"/>
        </w:numPr>
        <w:rPr>
          <w:rStyle w:val="Forte1"/>
        </w:rPr>
      </w:pPr>
      <w:bookmarkStart w:id="65" w:name="_Toc434344437"/>
      <w:bookmarkStart w:id="66" w:name="_Toc434148355"/>
      <w:bookmarkEnd w:id="65"/>
      <w:bookmarkEnd w:id="66"/>
      <w:r>
        <w:rPr>
          <w:rStyle w:val="Forte1"/>
        </w:rPr>
        <w:t>6.3.1 Fluxo do Serviço Hospitalar de Saúde Auditiva</w:t>
      </w:r>
    </w:p>
    <w:p>
      <w:pPr>
        <w:pStyle w:val="Corpodetexto"/>
        <w:rPr/>
      </w:pPr>
      <w:r>
        <w:rPr/>
      </w:r>
    </w:p>
    <w:p>
      <w:pPr>
        <w:pStyle w:val="Normal"/>
        <w:spacing w:lineRule="auto" w:line="360" w:before="120" w:after="120"/>
        <w:ind w:firstLine="567"/>
        <w:jc w:val="both"/>
        <w:rPr/>
      </w:pPr>
      <w:r>
        <w:rPr>
          <w:rFonts w:cs="Arial" w:ascii="Arial" w:hAnsi="Arial"/>
          <w:sz w:val="24"/>
          <w:szCs w:val="24"/>
        </w:rPr>
        <w:t xml:space="preserve">Os usuários com indicação de implante coclear ou de prótese auditiva ancorada no osso, serão encaminhados pelo SASA de referência do município do usuário, para o SHSA, </w:t>
      </w:r>
      <w:r>
        <w:rPr>
          <w:rFonts w:cs="Arial" w:ascii="Arial" w:hAnsi="Arial"/>
          <w:color w:val="000000"/>
          <w:sz w:val="24"/>
          <w:szCs w:val="24"/>
        </w:rPr>
        <w:t>por meio do Encaminhamento ao Serviço Hospitalar de Saúde Auditiva (ANEXO IV).</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O Prestador do SHSA emitirá um parecer para a cirurgia de implante coclear ou prótese auditiva ancorada no osso, de acordo com os critérios do Ministério da Saúde – Departamento de Gestão e Incorporação de Tecnologias em Saúde da Secretaria de Ciência, Tecnologia e Insumos Estratégicos (DGITS/SCTIE) e Comissão Nacional de Incorporação de Tecnologias no SUS (CONITEC), Relatório nº 99.</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t>O fluxo do Serviço Hospitalar de Saúde Auditiva está descrito a seguir:</w:t>
      </w:r>
    </w:p>
    <w:p>
      <w:pPr>
        <w:pStyle w:val="Normal"/>
        <w:spacing w:lineRule="auto" w:line="360" w:before="120" w:after="120"/>
        <w:ind w:firstLine="567"/>
        <w:jc w:val="both"/>
        <w:rPr>
          <w:rFonts w:ascii="Arial" w:hAnsi="Arial" w:cs="Arial"/>
          <w:sz w:val="24"/>
          <w:szCs w:val="24"/>
        </w:rPr>
      </w:pPr>
      <w:r>
        <w:rPr>
          <w:rFonts w:cs="Arial" w:ascii="Arial" w:hAnsi="Arial"/>
          <w:sz w:val="24"/>
          <w:szCs w:val="24"/>
        </w:rPr>
      </w:r>
    </w:p>
    <w:p>
      <w:pPr>
        <w:pStyle w:val="Normal"/>
        <w:spacing w:lineRule="auto" w:line="360" w:before="120" w:after="120"/>
        <w:ind w:firstLine="567"/>
        <w:jc w:val="center"/>
        <w:rPr/>
      </w:pPr>
      <w:r>
        <w:rPr>
          <w:rFonts w:cs="Arial" w:ascii="Arial" w:hAnsi="Arial"/>
        </w:rPr>
        <w:t>Figura 6 – Fluxo do Serviço Hospitalar de Saúde Auditiva (SHSA).</w:t>
      </w:r>
    </w:p>
    <w:p>
      <w:pPr>
        <w:pStyle w:val="Corpodetexto31"/>
        <w:ind w:right="0" w:hanging="0"/>
        <w:rPr>
          <w:rFonts w:ascii="Arial" w:hAnsi="Arial" w:cs="Arial"/>
          <w:sz w:val="20"/>
          <w:lang w:val="en-US" w:eastAsia="en-US"/>
        </w:rPr>
      </w:pPr>
      <w:r>
        <w:rPr>
          <w:rFonts w:cs="Arial" w:ascii="Arial" w:hAnsi="Arial"/>
          <w:sz w:val="20"/>
          <w:lang w:val="en-US" w:eastAsia="en-US"/>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mc:AlternateContent>
          <mc:Choice Requires="wpg">
            <w:drawing>
              <wp:anchor behindDoc="0" distT="0" distB="0" distL="0" distR="0" simplePos="0" locked="0" layoutInCell="1" allowOverlap="1" relativeHeight="147">
                <wp:simplePos x="0" y="0"/>
                <wp:positionH relativeFrom="column">
                  <wp:posOffset>44450</wp:posOffset>
                </wp:positionH>
                <wp:positionV relativeFrom="paragraph">
                  <wp:posOffset>635</wp:posOffset>
                </wp:positionV>
                <wp:extent cx="5132070" cy="5473700"/>
                <wp:effectExtent l="0" t="0" r="0" b="0"/>
                <wp:wrapSquare wrapText="bothSides"/>
                <wp:docPr id="6" name="Group 1"/>
                <a:graphic xmlns:a="http://schemas.openxmlformats.org/drawingml/2006/main">
                  <a:graphicData uri="http://schemas.microsoft.com/office/word/2010/wordprocessingGroup">
                    <wpg:wgp>
                      <wpg:cNvGrpSpPr/>
                      <wpg:grpSpPr>
                        <a:xfrm>
                          <a:off x="0" y="0"/>
                          <a:ext cx="5131440" cy="5473080"/>
                        </a:xfrm>
                      </wpg:grpSpPr>
                      <pic:pic xmlns:pic="http://schemas.openxmlformats.org/drawingml/2006/picture">
                        <pic:nvPicPr>
                          <pic:cNvPr id="0" name="Autoforma 2" descr=""/>
                          <pic:cNvPicPr/>
                        </pic:nvPicPr>
                        <pic:blipFill>
                          <a:blip r:embed="rId9"/>
                          <a:stretch/>
                        </pic:blipFill>
                        <pic:spPr>
                          <a:xfrm>
                            <a:off x="1245960" y="0"/>
                            <a:ext cx="2729880" cy="531000"/>
                          </a:xfrm>
                          <a:prstGeom prst="rect">
                            <a:avLst/>
                          </a:prstGeom>
                          <a:ln>
                            <a:noFill/>
                          </a:ln>
                        </pic:spPr>
                      </pic:pic>
                      <pic:pic xmlns:pic="http://schemas.openxmlformats.org/drawingml/2006/picture">
                        <pic:nvPicPr>
                          <pic:cNvPr id="1" name="Autoforma 3" descr=""/>
                          <pic:cNvPicPr/>
                        </pic:nvPicPr>
                        <pic:blipFill>
                          <a:blip r:embed="rId10"/>
                          <a:stretch/>
                        </pic:blipFill>
                        <pic:spPr>
                          <a:xfrm>
                            <a:off x="2536200" y="533520"/>
                            <a:ext cx="154440" cy="506880"/>
                          </a:xfrm>
                          <a:prstGeom prst="rect">
                            <a:avLst/>
                          </a:prstGeom>
                          <a:ln>
                            <a:noFill/>
                          </a:ln>
                        </pic:spPr>
                      </pic:pic>
                      <pic:pic xmlns:pic="http://schemas.openxmlformats.org/drawingml/2006/picture">
                        <pic:nvPicPr>
                          <pic:cNvPr id="2" name="Autoforma 4" descr=""/>
                          <pic:cNvPicPr/>
                        </pic:nvPicPr>
                        <pic:blipFill>
                          <a:blip r:embed="rId10"/>
                          <a:stretch/>
                        </pic:blipFill>
                        <pic:spPr>
                          <a:xfrm>
                            <a:off x="2548080" y="1705680"/>
                            <a:ext cx="154440" cy="506880"/>
                          </a:xfrm>
                          <a:prstGeom prst="rect">
                            <a:avLst/>
                          </a:prstGeom>
                          <a:ln>
                            <a:noFill/>
                          </a:ln>
                        </pic:spPr>
                      </pic:pic>
                      <pic:pic xmlns:pic="http://schemas.openxmlformats.org/drawingml/2006/picture">
                        <pic:nvPicPr>
                          <pic:cNvPr id="3" name="Autoforma 5" descr=""/>
                          <pic:cNvPicPr/>
                        </pic:nvPicPr>
                        <pic:blipFill>
                          <a:blip r:embed="rId11"/>
                          <a:stretch/>
                        </pic:blipFill>
                        <pic:spPr>
                          <a:xfrm>
                            <a:off x="2548080" y="2694240"/>
                            <a:ext cx="160560" cy="507960"/>
                          </a:xfrm>
                          <a:prstGeom prst="rect">
                            <a:avLst/>
                          </a:prstGeom>
                          <a:ln>
                            <a:noFill/>
                          </a:ln>
                        </pic:spPr>
                      </pic:pic>
                      <pic:pic xmlns:pic="http://schemas.openxmlformats.org/drawingml/2006/picture">
                        <pic:nvPicPr>
                          <pic:cNvPr id="4" name="Autoforma 6" descr=""/>
                          <pic:cNvPicPr/>
                        </pic:nvPicPr>
                        <pic:blipFill>
                          <a:blip r:embed="rId11"/>
                          <a:stretch/>
                        </pic:blipFill>
                        <pic:spPr>
                          <a:xfrm>
                            <a:off x="2531160" y="3430440"/>
                            <a:ext cx="160560" cy="506880"/>
                          </a:xfrm>
                          <a:prstGeom prst="rect">
                            <a:avLst/>
                          </a:prstGeom>
                          <a:ln>
                            <a:noFill/>
                          </a:ln>
                        </pic:spPr>
                      </pic:pic>
                      <pic:pic xmlns:pic="http://schemas.openxmlformats.org/drawingml/2006/picture">
                        <pic:nvPicPr>
                          <pic:cNvPr id="5" name="Autoforma 7" descr=""/>
                          <pic:cNvPicPr/>
                        </pic:nvPicPr>
                        <pic:blipFill>
                          <a:blip r:embed="rId12"/>
                          <a:stretch/>
                        </pic:blipFill>
                        <pic:spPr>
                          <a:xfrm>
                            <a:off x="36360" y="951840"/>
                            <a:ext cx="5095080" cy="750600"/>
                          </a:xfrm>
                          <a:prstGeom prst="rect">
                            <a:avLst/>
                          </a:prstGeom>
                          <a:ln>
                            <a:noFill/>
                          </a:ln>
                        </pic:spPr>
                      </pic:pic>
                      <pic:pic xmlns:pic="http://schemas.openxmlformats.org/drawingml/2006/picture">
                        <pic:nvPicPr>
                          <pic:cNvPr id="6" name="Autoforma 8" descr=""/>
                          <pic:cNvPicPr/>
                        </pic:nvPicPr>
                        <pic:blipFill>
                          <a:blip r:embed="rId13"/>
                          <a:stretch/>
                        </pic:blipFill>
                        <pic:spPr>
                          <a:xfrm>
                            <a:off x="1161360" y="2112120"/>
                            <a:ext cx="2765520" cy="519480"/>
                          </a:xfrm>
                          <a:prstGeom prst="rect">
                            <a:avLst/>
                          </a:prstGeom>
                          <a:ln>
                            <a:noFill/>
                          </a:ln>
                        </pic:spPr>
                      </pic:pic>
                      <pic:pic xmlns:pic="http://schemas.openxmlformats.org/drawingml/2006/picture">
                        <pic:nvPicPr>
                          <pic:cNvPr id="7" name="Autoforma 9" descr=""/>
                          <pic:cNvPicPr/>
                        </pic:nvPicPr>
                        <pic:blipFill>
                          <a:blip r:embed="rId14"/>
                          <a:stretch/>
                        </pic:blipFill>
                        <pic:spPr>
                          <a:xfrm>
                            <a:off x="24120" y="3108240"/>
                            <a:ext cx="5107320" cy="440640"/>
                          </a:xfrm>
                          <a:prstGeom prst="rect">
                            <a:avLst/>
                          </a:prstGeom>
                          <a:ln>
                            <a:noFill/>
                          </a:ln>
                        </pic:spPr>
                      </pic:pic>
                      <pic:pic xmlns:pic="http://schemas.openxmlformats.org/drawingml/2006/picture">
                        <pic:nvPicPr>
                          <pic:cNvPr id="8" name="Autoforma 10" descr=""/>
                          <pic:cNvPicPr/>
                        </pic:nvPicPr>
                        <pic:blipFill>
                          <a:blip r:embed="rId15"/>
                          <a:stretch/>
                        </pic:blipFill>
                        <pic:spPr>
                          <a:xfrm>
                            <a:off x="1284480" y="4024800"/>
                            <a:ext cx="2751480" cy="356400"/>
                          </a:xfrm>
                          <a:prstGeom prst="rect">
                            <a:avLst/>
                          </a:prstGeom>
                          <a:ln>
                            <a:noFill/>
                          </a:ln>
                        </pic:spPr>
                      </pic:pic>
                      <pic:pic xmlns:pic="http://schemas.openxmlformats.org/drawingml/2006/picture">
                        <pic:nvPicPr>
                          <pic:cNvPr id="9" name="Autoforma 11" descr=""/>
                          <pic:cNvPicPr/>
                        </pic:nvPicPr>
                        <pic:blipFill>
                          <a:blip r:embed="rId16"/>
                          <a:stretch/>
                        </pic:blipFill>
                        <pic:spPr>
                          <a:xfrm>
                            <a:off x="2602080" y="4340880"/>
                            <a:ext cx="160560" cy="470520"/>
                          </a:xfrm>
                          <a:prstGeom prst="rect">
                            <a:avLst/>
                          </a:prstGeom>
                          <a:ln>
                            <a:noFill/>
                          </a:ln>
                        </pic:spPr>
                      </pic:pic>
                      <pic:pic xmlns:pic="http://schemas.openxmlformats.org/drawingml/2006/picture">
                        <pic:nvPicPr>
                          <pic:cNvPr id="10" name="Autoforma 12" descr=""/>
                          <pic:cNvPicPr/>
                        </pic:nvPicPr>
                        <pic:blipFill>
                          <a:blip r:embed="rId17"/>
                          <a:stretch/>
                        </pic:blipFill>
                        <pic:spPr>
                          <a:xfrm>
                            <a:off x="0" y="4723200"/>
                            <a:ext cx="5088960" cy="749880"/>
                          </a:xfrm>
                          <a:prstGeom prst="rect">
                            <a:avLst/>
                          </a:prstGeom>
                          <a:ln>
                            <a:noFill/>
                          </a:ln>
                        </pic:spPr>
                      </pic:pic>
                    </wpg:wgp>
                  </a:graphicData>
                </a:graphic>
              </wp:anchor>
            </w:drawing>
          </mc:Choice>
          <mc:Fallback>
            <w:pict>
              <v:group id="shape_0" alt="Group 1" style="position:absolute;margin-left:3.5pt;margin-top:0pt;width:404.05pt;height:430.95pt" coordorigin="70,0" coordsize="8081,8619">
                <v:rect id="shape_0" ID="Autoforma 2" stroked="f" style="position:absolute;left:2032;top:0;width:4298;height:835">
                  <v:imagedata r:id="rId9" o:detectmouseclick="t"/>
                  <w10:wrap type="none"/>
                  <v:stroke color="#3465a4" joinstyle="round" endcap="flat"/>
                </v:rect>
                <v:rect id="shape_0" ID="Autoforma 3" stroked="f" style="position:absolute;left:4064;top:840;width:242;height:797">
                  <v:imagedata r:id="rId10" o:detectmouseclick="t"/>
                  <w10:wrap type="none"/>
                  <v:stroke color="#3465a4" joinstyle="round" endcap="flat"/>
                </v:rect>
                <v:rect id="shape_0" ID="Autoforma 4" stroked="f" style="position:absolute;left:4082;top:2686;width:242;height:797">
                  <v:imagedata r:id="rId10" o:detectmouseclick="t"/>
                  <w10:wrap type="none"/>
                  <v:stroke color="#3465a4" joinstyle="round" endcap="flat"/>
                </v:rect>
                <v:rect id="shape_0" ID="Autoforma 5" stroked="f" style="position:absolute;left:4082;top:4243;width:252;height:799">
                  <v:imagedata r:id="rId11" o:detectmouseclick="t"/>
                  <w10:wrap type="none"/>
                  <v:stroke color="#3465a4" joinstyle="round" endcap="flat"/>
                </v:rect>
                <v:rect id="shape_0" ID="Autoforma 6" stroked="f" style="position:absolute;left:4056;top:5402;width:252;height:797">
                  <v:imagedata r:id="rId11" o:detectmouseclick="t"/>
                  <w10:wrap type="none"/>
                  <v:stroke color="#3465a4" joinstyle="round" endcap="flat"/>
                </v:rect>
                <v:rect id="shape_0" ID="Autoforma 7" stroked="f" style="position:absolute;left:127;top:1499;width:8023;height:1181">
                  <v:imagedata r:id="rId12" o:detectmouseclick="t"/>
                  <w10:wrap type="none"/>
                  <v:stroke color="#3465a4" joinstyle="round" endcap="flat"/>
                </v:rect>
                <v:rect id="shape_0" ID="Autoforma 8" stroked="f" style="position:absolute;left:1899;top:3326;width:4354;height:817">
                  <v:imagedata r:id="rId13" o:detectmouseclick="t"/>
                  <w10:wrap type="none"/>
                  <v:stroke color="#3465a4" joinstyle="round" endcap="flat"/>
                </v:rect>
                <v:rect id="shape_0" ID="Autoforma 9" stroked="f" style="position:absolute;left:108;top:4895;width:8042;height:693">
                  <v:imagedata r:id="rId14" o:detectmouseclick="t"/>
                  <w10:wrap type="none"/>
                  <v:stroke color="#3465a4" joinstyle="round" endcap="flat"/>
                </v:rect>
                <v:rect id="shape_0" ID="Autoforma 10" stroked="f" style="position:absolute;left:2093;top:6338;width:4332;height:560">
                  <v:imagedata r:id="rId15" o:detectmouseclick="t"/>
                  <w10:wrap type="none"/>
                  <v:stroke color="#3465a4" joinstyle="round" endcap="flat"/>
                </v:rect>
                <v:rect id="shape_0" ID="Autoforma 11" stroked="f" style="position:absolute;left:4167;top:6836;width:252;height:740">
                  <v:imagedata r:id="rId16" o:detectmouseclick="t"/>
                  <w10:wrap type="none"/>
                  <v:stroke color="#3465a4" joinstyle="round" endcap="flat"/>
                </v:rect>
                <v:rect id="shape_0" ID="Autoforma 12" stroked="f" style="position:absolute;left:70;top:7438;width:8013;height:1180">
                  <v:imagedata r:id="rId17" o:detectmouseclick="t"/>
                  <w10:wrap type="none"/>
                  <v:stroke color="#3465a4" joinstyle="round" endcap="flat"/>
                </v:rect>
              </v:group>
            </w:pict>
          </mc:Fallback>
        </mc:AlternateContent>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rFonts w:ascii="Arial" w:hAnsi="Arial" w:cs="Arial"/>
          <w:color w:val="00000A"/>
          <w:sz w:val="20"/>
          <w:lang w:eastAsia="zh-CN"/>
        </w:rPr>
      </w:pPr>
      <w:r>
        <w:rPr>
          <w:rFonts w:cs="Arial" w:ascii="Arial" w:hAnsi="Arial"/>
          <w:color w:val="00000A"/>
          <w:sz w:val="20"/>
          <w:lang w:eastAsia="zh-CN"/>
        </w:rPr>
      </w:r>
    </w:p>
    <w:p>
      <w:pPr>
        <w:pStyle w:val="Corpodetexto31"/>
        <w:ind w:right="0" w:hanging="0"/>
        <w:rPr/>
      </w:pPr>
      <w:r>
        <w:rPr>
          <w:rFonts w:cs="Arial" w:ascii="Arial" w:hAnsi="Arial"/>
          <w:sz w:val="20"/>
        </w:rPr>
        <w:t>Fonte: Primária.</w:t>
      </w:r>
    </w:p>
    <w:p>
      <w:pPr>
        <w:pStyle w:val="Corpodetexto31"/>
        <w:ind w:right="0" w:hanging="0"/>
        <w:rPr>
          <w:rFonts w:ascii="Arial" w:hAnsi="Arial" w:cs="Arial"/>
          <w:sz w:val="20"/>
        </w:rPr>
      </w:pPr>
      <w:r>
        <w:rPr>
          <w:rFonts w:cs="Arial" w:ascii="Arial" w:hAnsi="Arial"/>
          <w:sz w:val="20"/>
        </w:rPr>
      </w:r>
    </w:p>
    <w:p>
      <w:pPr>
        <w:pStyle w:val="Corpodetexto31"/>
        <w:ind w:right="0" w:hanging="0"/>
        <w:rPr>
          <w:rFonts w:ascii="Arial" w:hAnsi="Arial" w:cs="Arial"/>
          <w:sz w:val="20"/>
        </w:rPr>
      </w:pPr>
      <w:r>
        <w:rPr>
          <w:rFonts w:cs="Arial" w:ascii="Arial" w:hAnsi="Arial"/>
          <w:sz w:val="20"/>
        </w:rPr>
      </w:r>
    </w:p>
    <w:p>
      <w:pPr>
        <w:pStyle w:val="Corpodetexto31"/>
        <w:ind w:right="0" w:hanging="0"/>
        <w:rPr>
          <w:rFonts w:ascii="Arial" w:hAnsi="Arial" w:cs="Arial"/>
          <w:sz w:val="20"/>
        </w:rPr>
      </w:pPr>
      <w:r>
        <w:rPr>
          <w:rFonts w:cs="Arial" w:ascii="Arial" w:hAnsi="Arial"/>
          <w:sz w:val="20"/>
        </w:rPr>
      </w:r>
    </w:p>
    <w:p>
      <w:pPr>
        <w:pStyle w:val="Corpodetexto31"/>
        <w:ind w:right="0" w:hanging="0"/>
        <w:rPr>
          <w:rFonts w:ascii="Arial" w:hAnsi="Arial" w:cs="Arial"/>
          <w:sz w:val="20"/>
        </w:rPr>
      </w:pPr>
      <w:r>
        <w:rPr>
          <w:rFonts w:cs="Arial" w:ascii="Arial" w:hAnsi="Arial"/>
          <w:sz w:val="20"/>
        </w:rPr>
      </w:r>
    </w:p>
    <w:p>
      <w:pPr>
        <w:pStyle w:val="Corpodetexto31"/>
        <w:ind w:right="0" w:hanging="0"/>
        <w:rPr>
          <w:rFonts w:ascii="Arial" w:hAnsi="Arial" w:cs="Arial"/>
          <w:sz w:val="20"/>
        </w:rPr>
      </w:pPr>
      <w:r>
        <w:rPr>
          <w:rFonts w:cs="Arial" w:ascii="Arial" w:hAnsi="Arial"/>
          <w:sz w:val="20"/>
        </w:rPr>
      </w:r>
    </w:p>
    <w:p>
      <w:pPr>
        <w:pStyle w:val="Corpodetexto31"/>
        <w:ind w:right="0" w:hanging="0"/>
        <w:rPr>
          <w:rFonts w:ascii="Arial" w:hAnsi="Arial" w:cs="Arial"/>
          <w:sz w:val="20"/>
        </w:rPr>
      </w:pPr>
      <w:r>
        <w:rPr>
          <w:rFonts w:cs="Arial" w:ascii="Arial" w:hAnsi="Arial"/>
          <w:sz w:val="20"/>
        </w:rPr>
      </w:r>
    </w:p>
    <w:p>
      <w:pPr>
        <w:pStyle w:val="Corpodetexto31"/>
        <w:ind w:right="0" w:hanging="0"/>
        <w:rPr>
          <w:rFonts w:ascii="Arial" w:hAnsi="Arial" w:cs="Arial"/>
          <w:sz w:val="20"/>
        </w:rPr>
      </w:pPr>
      <w:r>
        <w:rPr>
          <w:rFonts w:cs="Arial" w:ascii="Arial" w:hAnsi="Arial"/>
          <w:sz w:val="20"/>
        </w:rPr>
      </w:r>
    </w:p>
    <w:p>
      <w:pPr>
        <w:pStyle w:val="Corpodetexto31"/>
        <w:ind w:right="0" w:hanging="0"/>
        <w:rPr>
          <w:rFonts w:ascii="Arial" w:hAnsi="Arial" w:cs="Arial"/>
          <w:sz w:val="20"/>
        </w:rPr>
      </w:pPr>
      <w:r>
        <w:rPr>
          <w:rFonts w:cs="Arial" w:ascii="Arial" w:hAnsi="Arial"/>
          <w:sz w:val="20"/>
        </w:rPr>
      </w:r>
    </w:p>
    <w:p>
      <w:pPr>
        <w:pStyle w:val="Corpodetexto31"/>
        <w:ind w:right="0" w:hanging="0"/>
        <w:rPr>
          <w:rFonts w:ascii="Arial" w:hAnsi="Arial" w:cs="Arial"/>
          <w:sz w:val="20"/>
        </w:rPr>
      </w:pPr>
      <w:r>
        <w:rPr>
          <w:rFonts w:cs="Arial" w:ascii="Arial" w:hAnsi="Arial"/>
          <w:sz w:val="20"/>
        </w:rPr>
      </w:r>
    </w:p>
    <w:p>
      <w:pPr>
        <w:pStyle w:val="Corpodetexto31"/>
        <w:ind w:right="0" w:hanging="0"/>
        <w:rPr>
          <w:rFonts w:ascii="Arial" w:hAnsi="Arial" w:cs="Arial"/>
          <w:sz w:val="20"/>
        </w:rPr>
      </w:pPr>
      <w:r>
        <w:rPr>
          <w:rFonts w:cs="Arial" w:ascii="Arial" w:hAnsi="Arial"/>
          <w:sz w:val="20"/>
        </w:rPr>
      </w:r>
    </w:p>
    <w:p>
      <w:pPr>
        <w:pStyle w:val="Corpodetexto31"/>
        <w:ind w:right="0" w:hanging="0"/>
        <w:rPr>
          <w:rFonts w:ascii="Arial" w:hAnsi="Arial" w:cs="Arial"/>
          <w:sz w:val="20"/>
        </w:rPr>
      </w:pPr>
      <w:r>
        <w:rPr>
          <w:rFonts w:cs="Arial" w:ascii="Arial" w:hAnsi="Arial"/>
          <w:sz w:val="20"/>
        </w:rPr>
      </w:r>
    </w:p>
    <w:p>
      <w:pPr>
        <w:pStyle w:val="Corpodetexto31"/>
        <w:ind w:right="0" w:hanging="0"/>
        <w:rPr>
          <w:sz w:val="24"/>
        </w:rPr>
      </w:pPr>
      <w:r>
        <w:rPr>
          <w:sz w:val="24"/>
        </w:rPr>
      </w:r>
    </w:p>
    <w:p>
      <w:pPr>
        <w:pStyle w:val="Ttulo3"/>
        <w:numPr>
          <w:ilvl w:val="2"/>
          <w:numId w:val="3"/>
        </w:numPr>
        <w:rPr>
          <w:rStyle w:val="Forte1"/>
        </w:rPr>
      </w:pPr>
      <w:bookmarkStart w:id="67" w:name="_Toc434344438"/>
      <w:bookmarkStart w:id="68" w:name="_Toc434148356"/>
      <w:r>
        <w:rPr>
          <w:rStyle w:val="Forte1"/>
        </w:rPr>
        <w:t>6.3.2 Atribuições e competências dos órgãos que compõem o Serviço Hospitalar de Saúde Auditiva</w:t>
      </w:r>
      <w:bookmarkEnd w:id="67"/>
      <w:bookmarkEnd w:id="68"/>
      <w:r>
        <w:rPr>
          <w:rStyle w:val="Forte1"/>
        </w:rPr>
        <w:t xml:space="preserve"> </w:t>
      </w:r>
    </w:p>
    <w:p>
      <w:pPr>
        <w:pStyle w:val="Corpodetexto"/>
        <w:rPr/>
      </w:pPr>
      <w:r>
        <w:rPr/>
      </w:r>
    </w:p>
    <w:p>
      <w:pPr>
        <w:pStyle w:val="Ttulo31"/>
        <w:spacing w:lineRule="auto" w:line="360" w:before="120" w:after="120"/>
        <w:ind w:firstLine="567"/>
        <w:jc w:val="both"/>
        <w:rPr>
          <w:rFonts w:ascii="Arial" w:hAnsi="Arial" w:cs="Arial"/>
          <w:sz w:val="24"/>
          <w:szCs w:val="24"/>
        </w:rPr>
      </w:pPr>
      <w:r>
        <w:rPr>
          <w:rFonts w:cs="Arial" w:ascii="Arial" w:hAnsi="Arial"/>
          <w:sz w:val="24"/>
          <w:szCs w:val="24"/>
        </w:rPr>
        <w:t xml:space="preserve">São atribuições e competências do </w:t>
      </w:r>
      <w:r>
        <w:rPr>
          <w:rFonts w:cs="Arial" w:ascii="Arial" w:hAnsi="Arial"/>
          <w:b/>
          <w:bCs/>
          <w:sz w:val="24"/>
          <w:szCs w:val="24"/>
        </w:rPr>
        <w:t>PRESTADOR DO SERVIÇO AMBULATORIAL DE SAÚDE AUDITIVA (SASA):</w:t>
      </w:r>
    </w:p>
    <w:p>
      <w:pPr>
        <w:pStyle w:val="Ttulo31"/>
        <w:numPr>
          <w:ilvl w:val="1"/>
          <w:numId w:val="29"/>
        </w:numPr>
        <w:spacing w:lineRule="auto" w:line="360" w:before="120" w:after="120"/>
        <w:ind w:left="1134" w:hanging="567"/>
        <w:jc w:val="both"/>
        <w:rPr>
          <w:rFonts w:ascii="Arial" w:hAnsi="Arial" w:cs="Arial"/>
          <w:sz w:val="24"/>
          <w:szCs w:val="24"/>
        </w:rPr>
      </w:pPr>
      <w:r>
        <w:rPr>
          <w:rFonts w:cs="Arial" w:ascii="Arial" w:hAnsi="Arial"/>
          <w:sz w:val="24"/>
          <w:szCs w:val="24"/>
        </w:rPr>
        <w:t>Encaminhar a solicitação de avaliação para o Serviço Hospitalar de Saúde Auditiva juntamente com a cópia do processo do referido paciente ao Gestor do Serviço.</w:t>
      </w:r>
    </w:p>
    <w:p>
      <w:pPr>
        <w:pStyle w:val="Corpodetexto"/>
        <w:spacing w:lineRule="auto" w:line="360" w:before="120" w:after="120"/>
        <w:ind w:left="737" w:hanging="0"/>
        <w:jc w:val="both"/>
        <w:rPr/>
      </w:pPr>
      <w:r>
        <w:rPr/>
      </w:r>
    </w:p>
    <w:p>
      <w:pPr>
        <w:pStyle w:val="Normal"/>
        <w:spacing w:lineRule="auto" w:line="360" w:before="120" w:after="120"/>
        <w:ind w:firstLine="567"/>
        <w:jc w:val="both"/>
        <w:rPr>
          <w:rFonts w:ascii="Arial" w:hAnsi="Arial" w:cs="Arial"/>
          <w:b/>
          <w:b/>
          <w:bCs/>
          <w:sz w:val="24"/>
          <w:szCs w:val="24"/>
        </w:rPr>
      </w:pPr>
      <w:r>
        <w:rPr>
          <w:rFonts w:cs="Arial" w:ascii="Arial" w:hAnsi="Arial"/>
          <w:sz w:val="24"/>
          <w:szCs w:val="24"/>
        </w:rPr>
        <w:t xml:space="preserve">São atribuições e competências da </w:t>
      </w:r>
      <w:r>
        <w:rPr>
          <w:rFonts w:cs="Arial" w:ascii="Arial" w:hAnsi="Arial"/>
          <w:b/>
          <w:bCs/>
          <w:sz w:val="24"/>
          <w:szCs w:val="24"/>
        </w:rPr>
        <w:t>SECRETARIA MUNICIPAL DE SAÚDE(SMS):</w:t>
      </w:r>
    </w:p>
    <w:p>
      <w:pPr>
        <w:pStyle w:val="ListParagraph"/>
        <w:numPr>
          <w:ilvl w:val="0"/>
          <w:numId w:val="41"/>
        </w:numPr>
        <w:spacing w:lineRule="auto" w:line="360" w:before="120" w:after="120"/>
        <w:ind w:left="1134" w:hanging="567"/>
        <w:contextualSpacing/>
        <w:jc w:val="both"/>
        <w:rPr>
          <w:rFonts w:ascii="Arial" w:hAnsi="Arial" w:cs="Arial"/>
          <w:sz w:val="24"/>
          <w:szCs w:val="24"/>
        </w:rPr>
      </w:pPr>
      <w:r>
        <w:rPr>
          <w:rFonts w:cs="Arial" w:ascii="Arial" w:hAnsi="Arial"/>
          <w:sz w:val="24"/>
          <w:szCs w:val="24"/>
        </w:rPr>
        <w:t>Realizar a terapia fonoaudiológica dos usuários com implante coclear e prótese auditiva ancorada no osso, e receber os usuários contrarreferenciados, após o prazo de realização no Prestador do SHSA, e quando se fizer necessário.</w:t>
      </w:r>
    </w:p>
    <w:p>
      <w:pPr>
        <w:pStyle w:val="PadroLTGliederung1"/>
        <w:spacing w:lineRule="auto" w:line="360" w:before="120" w:after="120"/>
        <w:ind w:left="567" w:hanging="0"/>
        <w:jc w:val="both"/>
        <w:rPr/>
      </w:pPr>
      <w:r>
        <w:rPr/>
      </w:r>
    </w:p>
    <w:p>
      <w:pPr>
        <w:pStyle w:val="PadroLTGliederung1"/>
        <w:spacing w:lineRule="auto" w:line="360" w:before="120" w:after="120"/>
        <w:jc w:val="both"/>
        <w:rPr>
          <w:rFonts w:ascii="Arial" w:hAnsi="Arial" w:cs="Arial"/>
          <w:sz w:val="24"/>
          <w:szCs w:val="24"/>
        </w:rPr>
      </w:pPr>
      <w:r>
        <w:rPr>
          <w:rFonts w:cs="Arial" w:ascii="Arial" w:hAnsi="Arial"/>
          <w:sz w:val="24"/>
          <w:szCs w:val="24"/>
        </w:rPr>
        <w:tab/>
        <w:t xml:space="preserve">São atribuições e competências da </w:t>
      </w:r>
      <w:r>
        <w:rPr>
          <w:rFonts w:cs="Arial" w:ascii="Arial" w:hAnsi="Arial"/>
          <w:b/>
          <w:bCs/>
          <w:sz w:val="24"/>
          <w:szCs w:val="24"/>
        </w:rPr>
        <w:t>REGIONAL DE SAÚDE:</w:t>
      </w:r>
    </w:p>
    <w:p>
      <w:pPr>
        <w:pStyle w:val="PadroLTGliederung1"/>
        <w:numPr>
          <w:ilvl w:val="1"/>
          <w:numId w:val="41"/>
        </w:numPr>
        <w:spacing w:lineRule="auto" w:line="360" w:before="120" w:after="120"/>
        <w:ind w:left="1134" w:hanging="567"/>
        <w:jc w:val="both"/>
        <w:rPr>
          <w:rFonts w:ascii="Arial" w:hAnsi="Arial" w:cs="Arial"/>
          <w:sz w:val="24"/>
          <w:szCs w:val="24"/>
        </w:rPr>
      </w:pPr>
      <w:r>
        <w:rPr>
          <w:rFonts w:cs="Arial" w:ascii="Arial" w:hAnsi="Arial"/>
          <w:sz w:val="24"/>
          <w:szCs w:val="24"/>
        </w:rPr>
        <w:t>Fiscalizar se os municípios estão realizando as terapias fonoaudiológicas dos usuários com implante coclear e prótese auditiva ancorada no osso, encaminhados pela sua referência, após o prazo de realização no SHSA, e quando se fizer necessário.</w:t>
      </w:r>
    </w:p>
    <w:p>
      <w:pPr>
        <w:pStyle w:val="PadroLTGliederung1"/>
        <w:spacing w:lineRule="auto" w:line="360" w:before="120" w:after="120"/>
        <w:jc w:val="both"/>
        <w:rPr/>
      </w:pPr>
      <w:r>
        <w:rPr/>
      </w:r>
    </w:p>
    <w:p>
      <w:pPr>
        <w:pStyle w:val="Padro"/>
        <w:spacing w:lineRule="auto" w:line="360" w:before="120" w:after="120"/>
        <w:ind w:firstLine="567"/>
        <w:jc w:val="both"/>
        <w:rPr>
          <w:rFonts w:ascii="Arial" w:hAnsi="Arial" w:cs="Arial"/>
          <w:sz w:val="24"/>
          <w:szCs w:val="24"/>
        </w:rPr>
      </w:pPr>
      <w:r>
        <w:rPr>
          <w:rFonts w:cs="Arial" w:ascii="Arial" w:hAnsi="Arial"/>
          <w:sz w:val="24"/>
          <w:szCs w:val="24"/>
        </w:rPr>
        <w:t xml:space="preserve">São atribuições e competências do </w:t>
      </w:r>
      <w:r>
        <w:rPr>
          <w:rFonts w:cs="Arial" w:ascii="Arial" w:hAnsi="Arial"/>
          <w:b/>
          <w:bCs/>
          <w:sz w:val="24"/>
          <w:szCs w:val="24"/>
        </w:rPr>
        <w:t>GESTOR DO SERVIÇO HOSPITALAR DE SAÚDE AUDITIVA (SHSA):</w:t>
      </w:r>
    </w:p>
    <w:p>
      <w:pPr>
        <w:pStyle w:val="Padro"/>
        <w:numPr>
          <w:ilvl w:val="0"/>
          <w:numId w:val="42"/>
        </w:numPr>
        <w:spacing w:lineRule="auto" w:line="360" w:before="120" w:after="120"/>
        <w:ind w:left="1134" w:hanging="425"/>
        <w:jc w:val="both"/>
        <w:rPr>
          <w:rFonts w:ascii="Arial" w:hAnsi="Arial" w:cs="Arial"/>
          <w:sz w:val="24"/>
          <w:szCs w:val="24"/>
        </w:rPr>
      </w:pPr>
      <w:r>
        <w:rPr>
          <w:rFonts w:cs="Arial" w:ascii="Arial" w:hAnsi="Arial"/>
          <w:sz w:val="24"/>
          <w:szCs w:val="24"/>
        </w:rPr>
        <w:t>Receber a solicitação de avaliação para o SHSA e o processo advindo do SASA;</w:t>
      </w:r>
    </w:p>
    <w:p>
      <w:pPr>
        <w:pStyle w:val="Padro"/>
        <w:numPr>
          <w:ilvl w:val="0"/>
          <w:numId w:val="42"/>
        </w:numPr>
        <w:spacing w:lineRule="auto" w:line="360" w:before="120" w:after="120"/>
        <w:ind w:left="1134" w:hanging="425"/>
        <w:jc w:val="both"/>
        <w:rPr>
          <w:rFonts w:ascii="Arial" w:hAnsi="Arial" w:cs="Arial"/>
          <w:sz w:val="24"/>
          <w:szCs w:val="24"/>
        </w:rPr>
      </w:pPr>
      <w:r>
        <w:rPr>
          <w:rFonts w:cs="Arial" w:ascii="Arial" w:hAnsi="Arial"/>
          <w:sz w:val="24"/>
          <w:szCs w:val="24"/>
        </w:rPr>
        <w:t>Agendar a consulta do usuário no SISREG para o SHSA;</w:t>
      </w:r>
    </w:p>
    <w:p>
      <w:pPr>
        <w:pStyle w:val="Padro"/>
        <w:numPr>
          <w:ilvl w:val="0"/>
          <w:numId w:val="42"/>
        </w:numPr>
        <w:spacing w:lineRule="auto" w:line="360" w:before="120" w:after="120"/>
        <w:ind w:left="1134" w:hanging="425"/>
        <w:jc w:val="both"/>
        <w:rPr>
          <w:rFonts w:ascii="Arial" w:hAnsi="Arial" w:cs="Arial"/>
          <w:sz w:val="24"/>
          <w:szCs w:val="24"/>
        </w:rPr>
      </w:pPr>
      <w:r>
        <w:rPr>
          <w:rFonts w:cs="Arial" w:ascii="Arial" w:hAnsi="Arial"/>
          <w:sz w:val="24"/>
          <w:szCs w:val="24"/>
        </w:rPr>
        <w:t>Cadastrar no Sistema de Cadastro dos Serviços Ambulatorial e Hospitalar de Saúde Auditiva, os usuários com as referidas datas dos agendamentos;</w:t>
      </w:r>
    </w:p>
    <w:p>
      <w:pPr>
        <w:pStyle w:val="Padro"/>
        <w:numPr>
          <w:ilvl w:val="0"/>
          <w:numId w:val="42"/>
        </w:numPr>
        <w:spacing w:lineRule="auto" w:line="360" w:before="120" w:after="120"/>
        <w:ind w:left="1134" w:hanging="425"/>
        <w:jc w:val="both"/>
        <w:rPr>
          <w:rFonts w:ascii="Arial" w:hAnsi="Arial" w:cs="Arial"/>
          <w:sz w:val="24"/>
          <w:szCs w:val="24"/>
        </w:rPr>
      </w:pPr>
      <w:r>
        <w:rPr>
          <w:rFonts w:cs="Arial" w:ascii="Arial" w:hAnsi="Arial"/>
          <w:sz w:val="24"/>
          <w:szCs w:val="24"/>
        </w:rPr>
        <w:t xml:space="preserve">Imprimir o relatório do Sistema de </w:t>
      </w:r>
      <w:r>
        <w:rPr>
          <w:rFonts w:cs="Arial" w:ascii="Arial" w:hAnsi="Arial"/>
          <w:sz w:val="24"/>
          <w:szCs w:val="24"/>
          <w:shd w:fill="FFFFFF" w:val="clear"/>
        </w:rPr>
        <w:t>Cadastro dos Serviços Ambulatorial e Hospitalar de Saúde Auditiva para</w:t>
      </w:r>
      <w:r>
        <w:rPr>
          <w:rFonts w:cs="Arial" w:ascii="Arial" w:hAnsi="Arial"/>
          <w:sz w:val="24"/>
          <w:szCs w:val="24"/>
        </w:rPr>
        <w:t xml:space="preserve"> enviar </w:t>
      </w:r>
      <w:r>
        <w:rPr>
          <w:rFonts w:cs="Arial" w:ascii="Arial" w:hAnsi="Arial"/>
          <w:sz w:val="24"/>
          <w:szCs w:val="24"/>
          <w:shd w:fill="FFFFFF" w:val="clear"/>
        </w:rPr>
        <w:t>aos Prestadores de Saúde auditiva;</w:t>
      </w:r>
    </w:p>
    <w:p>
      <w:pPr>
        <w:pStyle w:val="Padro"/>
        <w:numPr>
          <w:ilvl w:val="0"/>
          <w:numId w:val="42"/>
        </w:numPr>
        <w:spacing w:lineRule="auto" w:line="360" w:before="120" w:after="120"/>
        <w:ind w:left="1134" w:hanging="425"/>
        <w:jc w:val="both"/>
        <w:rPr>
          <w:rFonts w:ascii="Arial" w:hAnsi="Arial" w:cs="Arial"/>
          <w:sz w:val="24"/>
          <w:szCs w:val="24"/>
        </w:rPr>
      </w:pPr>
      <w:r>
        <w:rPr>
          <w:rFonts w:cs="Arial" w:ascii="Arial" w:hAnsi="Arial"/>
          <w:sz w:val="24"/>
          <w:szCs w:val="24"/>
        </w:rPr>
        <w:t>Encaminhar para o SHSA o relatório do Sistema de Cadastro dos Serviços Ambulatorial e Hospitalar de Saúde Auditiva, acompanhado dos processos dos usuários para serem atendidos, bem como seu agendamento.</w:t>
      </w:r>
    </w:p>
    <w:p>
      <w:pPr>
        <w:pStyle w:val="Padro"/>
        <w:spacing w:lineRule="auto" w:line="360" w:before="120" w:after="120"/>
        <w:jc w:val="both"/>
        <w:rPr>
          <w:rFonts w:ascii="Arial" w:hAnsi="Arial" w:cs="Arial"/>
          <w:sz w:val="24"/>
          <w:szCs w:val="24"/>
        </w:rPr>
      </w:pPr>
      <w:r>
        <w:rPr>
          <w:rFonts w:cs="Arial" w:ascii="Arial" w:hAnsi="Arial"/>
          <w:sz w:val="24"/>
          <w:szCs w:val="24"/>
        </w:rPr>
      </w:r>
    </w:p>
    <w:p>
      <w:pPr>
        <w:pStyle w:val="PadroLTGliederung1"/>
        <w:spacing w:lineRule="auto" w:line="360" w:before="120" w:after="120"/>
        <w:ind w:firstLine="567"/>
        <w:jc w:val="both"/>
        <w:rPr>
          <w:rFonts w:ascii="Arial" w:hAnsi="Arial" w:cs="Arial"/>
          <w:sz w:val="24"/>
          <w:szCs w:val="24"/>
        </w:rPr>
      </w:pPr>
      <w:r>
        <w:rPr>
          <w:rFonts w:cs="Arial" w:ascii="Arial" w:hAnsi="Arial"/>
          <w:sz w:val="24"/>
          <w:szCs w:val="24"/>
        </w:rPr>
        <w:t xml:space="preserve">São atribuições e competências da </w:t>
      </w:r>
      <w:r>
        <w:rPr>
          <w:rFonts w:cs="Arial" w:ascii="Arial" w:hAnsi="Arial"/>
          <w:b/>
          <w:bCs/>
          <w:sz w:val="24"/>
          <w:szCs w:val="24"/>
        </w:rPr>
        <w:t>SECRETARIA DE ESTADO DA SAÚDE DE SANTA CATARINA (SES):</w:t>
      </w:r>
    </w:p>
    <w:p>
      <w:pPr>
        <w:pStyle w:val="PadroLTGliederung1"/>
        <w:numPr>
          <w:ilvl w:val="0"/>
          <w:numId w:val="43"/>
        </w:numPr>
        <w:spacing w:lineRule="auto" w:line="360" w:before="120" w:after="120"/>
        <w:ind w:left="1134" w:hanging="425"/>
        <w:jc w:val="both"/>
        <w:rPr>
          <w:rFonts w:ascii="Arial" w:hAnsi="Arial" w:cs="Arial"/>
          <w:sz w:val="24"/>
          <w:szCs w:val="24"/>
        </w:rPr>
      </w:pPr>
      <w:r>
        <w:rPr>
          <w:rFonts w:cs="Arial" w:ascii="Arial" w:hAnsi="Arial"/>
          <w:sz w:val="24"/>
          <w:szCs w:val="24"/>
        </w:rPr>
        <w:t>Controlar, avaliar, auditar e regular o SHSA;</w:t>
      </w:r>
    </w:p>
    <w:p>
      <w:pPr>
        <w:pStyle w:val="PadroLTGliederung1"/>
        <w:numPr>
          <w:ilvl w:val="0"/>
          <w:numId w:val="43"/>
        </w:numPr>
        <w:spacing w:lineRule="auto" w:line="360" w:before="120" w:after="120"/>
        <w:ind w:left="1134" w:hanging="425"/>
        <w:jc w:val="both"/>
        <w:rPr>
          <w:rFonts w:ascii="Arial" w:hAnsi="Arial" w:cs="Arial"/>
          <w:sz w:val="24"/>
          <w:szCs w:val="24"/>
        </w:rPr>
      </w:pPr>
      <w:r>
        <w:rPr>
          <w:rFonts w:cs="Arial" w:ascii="Arial" w:hAnsi="Arial"/>
          <w:sz w:val="24"/>
          <w:szCs w:val="24"/>
        </w:rPr>
        <w:t>Acompanhar o cumprimento das cotas, do Termo de Compromisso de Garantia de Acesso à Assistência Hospitalar em Saúde Auditiva, teto financeiro e atendimento das filas pelos gestores e prestadores do SHSA;</w:t>
      </w:r>
    </w:p>
    <w:p>
      <w:pPr>
        <w:pStyle w:val="PadroLTGliederung1"/>
        <w:numPr>
          <w:ilvl w:val="0"/>
          <w:numId w:val="43"/>
        </w:numPr>
        <w:spacing w:lineRule="auto" w:line="360" w:before="120" w:after="120"/>
        <w:ind w:left="1134" w:hanging="708"/>
        <w:jc w:val="both"/>
        <w:rPr>
          <w:rFonts w:ascii="Arial" w:hAnsi="Arial" w:cs="Arial"/>
          <w:sz w:val="24"/>
          <w:szCs w:val="24"/>
        </w:rPr>
      </w:pPr>
      <w:r>
        <w:rPr>
          <w:rFonts w:cs="Arial" w:ascii="Arial" w:hAnsi="Arial"/>
          <w:sz w:val="24"/>
          <w:szCs w:val="24"/>
        </w:rPr>
        <w:t>Capacitar os profissionais da rede de saúde auditiva, em parceria com os serviços prestadores e gestores;</w:t>
      </w:r>
    </w:p>
    <w:p>
      <w:pPr>
        <w:pStyle w:val="PadroLTGliederung1"/>
        <w:numPr>
          <w:ilvl w:val="0"/>
          <w:numId w:val="43"/>
        </w:numPr>
        <w:spacing w:lineRule="auto" w:line="360" w:before="120" w:after="120"/>
        <w:ind w:left="1134" w:hanging="425"/>
        <w:jc w:val="both"/>
        <w:rPr>
          <w:rFonts w:ascii="Arial" w:hAnsi="Arial" w:cs="Arial"/>
          <w:sz w:val="24"/>
          <w:szCs w:val="24"/>
        </w:rPr>
      </w:pPr>
      <w:r>
        <w:rPr>
          <w:rFonts w:cs="Arial" w:ascii="Arial" w:hAnsi="Arial"/>
          <w:sz w:val="24"/>
          <w:szCs w:val="24"/>
        </w:rPr>
        <w:t>Elaborar material de orientação e informativo do SHSA;</w:t>
      </w:r>
    </w:p>
    <w:p>
      <w:pPr>
        <w:pStyle w:val="PadroLTGliederung1"/>
        <w:numPr>
          <w:ilvl w:val="0"/>
          <w:numId w:val="43"/>
        </w:numPr>
        <w:spacing w:lineRule="auto" w:line="360" w:before="120" w:after="120"/>
        <w:ind w:left="1134" w:hanging="425"/>
        <w:jc w:val="both"/>
        <w:rPr>
          <w:rFonts w:ascii="Arial" w:hAnsi="Arial" w:cs="Arial"/>
          <w:sz w:val="24"/>
          <w:szCs w:val="24"/>
        </w:rPr>
      </w:pPr>
      <w:r>
        <w:rPr>
          <w:rFonts w:cs="Arial" w:ascii="Arial" w:hAnsi="Arial"/>
          <w:sz w:val="24"/>
          <w:szCs w:val="24"/>
        </w:rPr>
        <w:t>Acompanhar as ações realizadas no SHSA.</w:t>
      </w:r>
    </w:p>
    <w:p>
      <w:pPr>
        <w:pStyle w:val="PadroLTGliederung1"/>
        <w:spacing w:lineRule="auto" w:line="360" w:before="120" w:after="120"/>
        <w:ind w:left="737" w:hanging="0"/>
        <w:jc w:val="both"/>
        <w:rPr>
          <w:rFonts w:ascii="Arial" w:hAnsi="Arial" w:cs="Arial"/>
          <w:sz w:val="24"/>
          <w:szCs w:val="24"/>
        </w:rPr>
      </w:pPr>
      <w:r>
        <w:rPr>
          <w:rFonts w:cs="Arial" w:ascii="Arial" w:hAnsi="Arial"/>
          <w:sz w:val="24"/>
          <w:szCs w:val="24"/>
        </w:rPr>
      </w:r>
    </w:p>
    <w:p>
      <w:pPr>
        <w:pStyle w:val="PadroLTGliederung1"/>
        <w:spacing w:lineRule="auto" w:line="360" w:before="120" w:after="120"/>
        <w:ind w:firstLine="567"/>
        <w:jc w:val="both"/>
        <w:rPr>
          <w:rFonts w:ascii="Arial" w:hAnsi="Arial" w:cs="Arial"/>
          <w:sz w:val="24"/>
          <w:szCs w:val="24"/>
        </w:rPr>
      </w:pPr>
      <w:r>
        <w:rPr>
          <w:rFonts w:cs="Arial" w:ascii="Arial" w:hAnsi="Arial"/>
          <w:sz w:val="24"/>
          <w:szCs w:val="24"/>
        </w:rPr>
        <w:t xml:space="preserve">São atribuições e competências do </w:t>
      </w:r>
      <w:r>
        <w:rPr>
          <w:rFonts w:cs="Arial" w:ascii="Arial" w:hAnsi="Arial"/>
          <w:b/>
          <w:bCs/>
          <w:sz w:val="24"/>
          <w:szCs w:val="24"/>
        </w:rPr>
        <w:t>PRESTADOR DO SERVIÇO HOSPITALAR DE SAÚDE AUDITIVA (SHSA)</w:t>
      </w:r>
      <w:r>
        <w:rPr>
          <w:rFonts w:cs="Arial" w:ascii="Arial" w:hAnsi="Arial"/>
          <w:sz w:val="24"/>
          <w:szCs w:val="24"/>
        </w:rPr>
        <w:t>:</w:t>
      </w:r>
    </w:p>
    <w:p>
      <w:pPr>
        <w:pStyle w:val="PadroLTGliederung1"/>
        <w:numPr>
          <w:ilvl w:val="0"/>
          <w:numId w:val="44"/>
        </w:numPr>
        <w:spacing w:lineRule="auto" w:line="360" w:before="120" w:after="120"/>
        <w:ind w:left="1134" w:hanging="425"/>
        <w:jc w:val="both"/>
        <w:rPr>
          <w:rFonts w:ascii="Arial" w:hAnsi="Arial" w:cs="Arial"/>
          <w:sz w:val="24"/>
          <w:szCs w:val="24"/>
        </w:rPr>
      </w:pPr>
      <w:r>
        <w:rPr>
          <w:rFonts w:cs="Arial" w:ascii="Arial" w:hAnsi="Arial"/>
          <w:sz w:val="24"/>
          <w:szCs w:val="24"/>
        </w:rPr>
        <w:t>Avaliar e emitir parecer dos casos de cirurgia de implante coclear e prótese auditiva ancorada no osso;</w:t>
      </w:r>
    </w:p>
    <w:p>
      <w:pPr>
        <w:pStyle w:val="PadroLTGliederung1"/>
        <w:numPr>
          <w:ilvl w:val="0"/>
          <w:numId w:val="44"/>
        </w:numPr>
        <w:spacing w:lineRule="auto" w:line="360" w:before="120" w:after="120"/>
        <w:ind w:left="1134" w:hanging="425"/>
        <w:jc w:val="both"/>
        <w:rPr>
          <w:rFonts w:ascii="Arial" w:hAnsi="Arial" w:cs="Arial"/>
          <w:sz w:val="24"/>
          <w:szCs w:val="24"/>
        </w:rPr>
      </w:pPr>
      <w:r>
        <w:rPr>
          <w:rFonts w:cs="Arial" w:ascii="Arial" w:hAnsi="Arial"/>
          <w:sz w:val="24"/>
          <w:szCs w:val="24"/>
        </w:rPr>
        <w:t>Informar ao gestor os usuários sem indicação cirúrgica de implante coclear e prótese auditiva ancorada no osso, e contrarreferenciá-los para o prestador do SASA;</w:t>
      </w:r>
    </w:p>
    <w:p>
      <w:pPr>
        <w:pStyle w:val="PadroLTGliederung1"/>
        <w:numPr>
          <w:ilvl w:val="0"/>
          <w:numId w:val="44"/>
        </w:numPr>
        <w:spacing w:lineRule="auto" w:line="360" w:before="120" w:after="120"/>
        <w:ind w:left="1134" w:hanging="425"/>
        <w:jc w:val="both"/>
        <w:rPr>
          <w:rFonts w:ascii="Arial" w:hAnsi="Arial" w:cs="Arial"/>
          <w:sz w:val="24"/>
          <w:szCs w:val="24"/>
        </w:rPr>
      </w:pPr>
      <w:r>
        <w:rPr>
          <w:rFonts w:cs="Arial" w:ascii="Arial" w:hAnsi="Arial"/>
          <w:sz w:val="24"/>
          <w:szCs w:val="24"/>
        </w:rPr>
        <w:t>Informar mensalmente o gestor Estadual a lista de espera para a cirurgia de implante coclear e da prótese auditiva ancorada no osso;</w:t>
      </w:r>
    </w:p>
    <w:p>
      <w:pPr>
        <w:pStyle w:val="PadroLTGliederung1"/>
        <w:numPr>
          <w:ilvl w:val="0"/>
          <w:numId w:val="44"/>
        </w:numPr>
        <w:spacing w:lineRule="auto" w:line="360" w:before="120" w:after="120"/>
        <w:ind w:left="1134" w:hanging="425"/>
        <w:jc w:val="both"/>
        <w:rPr>
          <w:rFonts w:ascii="Arial" w:hAnsi="Arial" w:cs="Arial"/>
          <w:sz w:val="24"/>
          <w:szCs w:val="24"/>
        </w:rPr>
      </w:pPr>
      <w:r>
        <w:rPr>
          <w:rFonts w:cs="Arial" w:ascii="Arial" w:hAnsi="Arial"/>
          <w:sz w:val="24"/>
          <w:szCs w:val="24"/>
        </w:rPr>
        <w:t>Capacitar profissionais da rede de saúde auditiva em parceria com o gestor e a Secretaria Estadual de Saúde.</w:t>
      </w:r>
    </w:p>
    <w:p>
      <w:pPr>
        <w:pStyle w:val="PadroLTGliederung1"/>
        <w:spacing w:lineRule="auto" w:line="360" w:before="120" w:after="120"/>
        <w:jc w:val="both"/>
        <w:rPr/>
      </w:pPr>
      <w:r>
        <w:rPr/>
      </w:r>
    </w:p>
    <w:p>
      <w:pPr>
        <w:pStyle w:val="Ttulo3"/>
        <w:numPr>
          <w:ilvl w:val="2"/>
          <w:numId w:val="3"/>
        </w:numPr>
        <w:rPr>
          <w:rStyle w:val="Forte1"/>
        </w:rPr>
      </w:pPr>
      <w:bookmarkStart w:id="69" w:name="_Toc434344439"/>
      <w:bookmarkStart w:id="70" w:name="_Toc434148357"/>
      <w:bookmarkEnd w:id="69"/>
      <w:bookmarkEnd w:id="70"/>
      <w:r>
        <w:rPr>
          <w:rStyle w:val="Forte1"/>
        </w:rPr>
        <w:t>6.3.3 Critérios de indicação e contraindicação para o Implante Coclear</w:t>
      </w:r>
    </w:p>
    <w:p>
      <w:pPr>
        <w:pStyle w:val="Corpodetexto"/>
        <w:rPr/>
      </w:pPr>
      <w:r>
        <w:rPr/>
      </w:r>
    </w:p>
    <w:p>
      <w:pPr>
        <w:pStyle w:val="Ttulo4"/>
        <w:numPr>
          <w:ilvl w:val="3"/>
          <w:numId w:val="3"/>
        </w:numPr>
        <w:rPr>
          <w:rFonts w:ascii="Arial" w:hAnsi="Arial" w:cs="Arial"/>
          <w:b/>
          <w:b/>
          <w:sz w:val="24"/>
          <w:szCs w:val="24"/>
        </w:rPr>
      </w:pPr>
      <w:bookmarkStart w:id="71" w:name="_Toc434148358"/>
      <w:r>
        <w:rPr>
          <w:rStyle w:val="Forte1"/>
          <w:rFonts w:cs="Arial" w:ascii="Arial" w:hAnsi="Arial"/>
          <w:b w:val="false"/>
          <w:sz w:val="24"/>
          <w:szCs w:val="24"/>
        </w:rPr>
        <w:t xml:space="preserve">6.3.3.1 </w:t>
      </w:r>
      <w:r>
        <w:rPr>
          <w:rFonts w:cs="Arial" w:ascii="Arial" w:hAnsi="Arial"/>
          <w:b/>
          <w:sz w:val="24"/>
          <w:szCs w:val="24"/>
        </w:rPr>
        <w:t>Critérios de indicação para o Implante Coclear</w:t>
      </w:r>
      <w:bookmarkEnd w:id="71"/>
      <w:r>
        <w:rPr>
          <w:rFonts w:cs="Arial" w:ascii="Arial" w:hAnsi="Arial"/>
          <w:b/>
          <w:sz w:val="24"/>
          <w:szCs w:val="24"/>
        </w:rPr>
        <w:t xml:space="preserve"> </w:t>
      </w:r>
    </w:p>
    <w:p>
      <w:pPr>
        <w:pStyle w:val="Normal"/>
        <w:rPr/>
      </w:pPr>
      <w:r>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 xml:space="preserve">O uso de implante coclear está indicado para habilitação e reabilitação auditiva de pessoas que apresentem perda auditiva neurossensorial bilateral, de grau severo a profundo. </w:t>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1. Crianças com até 4 anos de idade incompletos, que apresentem perda auditiva neurossensorial, de grau severo e ou profundo bilateral, quando preenchidos os seguintes critérios:</w:t>
      </w:r>
    </w:p>
    <w:p>
      <w:pPr>
        <w:pStyle w:val="Corpodetexto"/>
        <w:numPr>
          <w:ilvl w:val="1"/>
          <w:numId w:val="45"/>
        </w:numPr>
        <w:spacing w:lineRule="auto" w:line="360" w:before="120" w:after="120"/>
        <w:ind w:left="1134" w:hanging="567"/>
        <w:jc w:val="both"/>
        <w:rPr>
          <w:rFonts w:ascii="Arial" w:hAnsi="Arial" w:cs="Arial"/>
          <w:sz w:val="24"/>
          <w:szCs w:val="24"/>
        </w:rPr>
      </w:pPr>
      <w:r>
        <w:rPr>
          <w:rFonts w:cs="Arial" w:ascii="Arial" w:hAnsi="Arial"/>
          <w:sz w:val="24"/>
          <w:szCs w:val="24"/>
        </w:rPr>
        <w:t xml:space="preserve">Experiência com uso de aparelhos de amplificação sonora individual por um período mínimo de três meses e idade mínima de 18 meses na perda auditiva severa. Idade mínima de 6 meses em casos de meningite e/ou surdez profunda de etiologia genética comprovada, e nestes casos, não é obrigatória a experiência com AASI. </w:t>
      </w:r>
    </w:p>
    <w:p>
      <w:pPr>
        <w:pStyle w:val="Corpodetexto"/>
        <w:numPr>
          <w:ilvl w:val="1"/>
          <w:numId w:val="45"/>
        </w:numPr>
        <w:spacing w:lineRule="auto" w:line="360" w:before="120" w:after="120"/>
        <w:ind w:left="1134" w:hanging="567"/>
        <w:jc w:val="both"/>
        <w:rPr>
          <w:rFonts w:ascii="Arial" w:hAnsi="Arial" w:cs="Arial"/>
          <w:sz w:val="24"/>
          <w:szCs w:val="24"/>
        </w:rPr>
      </w:pPr>
      <w:r>
        <w:rPr>
          <w:rFonts w:cs="Arial" w:ascii="Arial" w:hAnsi="Arial"/>
          <w:sz w:val="24"/>
          <w:szCs w:val="24"/>
        </w:rPr>
        <w:t>Falta de acesso aos sons de fala em ambas as orelhas com AASI, ou seja, limiares em campo livre com AASI piores que 50dBNA nas frequências da fala (500Hz a 4KHz);</w:t>
      </w:r>
    </w:p>
    <w:p>
      <w:pPr>
        <w:pStyle w:val="Corpodetexto"/>
        <w:numPr>
          <w:ilvl w:val="1"/>
          <w:numId w:val="45"/>
        </w:numPr>
        <w:spacing w:lineRule="auto" w:line="360" w:before="120" w:after="120"/>
        <w:ind w:left="1134" w:hanging="567"/>
        <w:jc w:val="both"/>
        <w:rPr>
          <w:rFonts w:ascii="Arial" w:hAnsi="Arial" w:cs="Arial"/>
          <w:sz w:val="24"/>
          <w:szCs w:val="24"/>
        </w:rPr>
      </w:pPr>
      <w:r>
        <w:rPr>
          <w:rFonts w:cs="Arial" w:ascii="Arial" w:hAnsi="Arial"/>
          <w:sz w:val="24"/>
          <w:szCs w:val="24"/>
        </w:rPr>
        <w:t>Adequação psicológica e motivação da família para o uso do implante coclear, manutenção/cuidados e para o processo de reabilitação fonoaudiológica;</w:t>
      </w:r>
    </w:p>
    <w:p>
      <w:pPr>
        <w:pStyle w:val="Corpodetexto"/>
        <w:numPr>
          <w:ilvl w:val="1"/>
          <w:numId w:val="45"/>
        </w:numPr>
        <w:spacing w:lineRule="auto" w:line="360" w:before="120" w:after="120"/>
        <w:ind w:left="1134" w:hanging="567"/>
        <w:jc w:val="both"/>
        <w:rPr>
          <w:rFonts w:ascii="Arial" w:hAnsi="Arial" w:cs="Arial"/>
          <w:sz w:val="24"/>
          <w:szCs w:val="24"/>
        </w:rPr>
      </w:pPr>
      <w:r>
        <w:rPr>
          <w:rFonts w:cs="Arial" w:ascii="Arial" w:hAnsi="Arial"/>
          <w:sz w:val="24"/>
          <w:szCs w:val="24"/>
        </w:rPr>
        <w:t>Acesso à terapia fonoaudiológica com condições adequadas de reabilitação auditiva na região de origem (referência/contrarreferência).</w:t>
      </w:r>
    </w:p>
    <w:p>
      <w:pPr>
        <w:pStyle w:val="Corpodetexto"/>
        <w:numPr>
          <w:ilvl w:val="1"/>
          <w:numId w:val="45"/>
        </w:numPr>
        <w:spacing w:lineRule="auto" w:line="360" w:before="120" w:after="120"/>
        <w:ind w:left="1134" w:hanging="567"/>
        <w:jc w:val="both"/>
        <w:rPr>
          <w:rFonts w:ascii="Arial" w:hAnsi="Arial" w:cs="Arial"/>
          <w:sz w:val="24"/>
          <w:szCs w:val="24"/>
        </w:rPr>
      </w:pPr>
      <w:r>
        <w:rPr>
          <w:rFonts w:cs="Arial" w:ascii="Arial" w:hAnsi="Arial"/>
          <w:sz w:val="24"/>
          <w:szCs w:val="24"/>
        </w:rPr>
        <w:t xml:space="preserve">Compromisso em zelar os componentes externos do implante coclear e realizar o processo de reabilitação fonoaudiológica; </w:t>
      </w:r>
    </w:p>
    <w:p>
      <w:pPr>
        <w:pStyle w:val="Corpodetexto"/>
        <w:spacing w:lineRule="auto" w:line="360" w:before="120" w:after="120"/>
        <w:ind w:left="567" w:hanging="0"/>
        <w:jc w:val="both"/>
        <w:rPr>
          <w:rFonts w:ascii="Arial" w:hAnsi="Arial" w:cs="Arial"/>
          <w:sz w:val="24"/>
          <w:szCs w:val="24"/>
        </w:rPr>
      </w:pPr>
      <w:r>
        <w:rPr>
          <w:rFonts w:cs="Arial" w:ascii="Arial" w:hAnsi="Arial"/>
          <w:sz w:val="24"/>
          <w:szCs w:val="24"/>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2. Crianças a partir de 4 até 7 anos de idade incompletos, que apresentem perda auditiva neurossensorial, de grau severo e ou profundo bilateral, quando preenchidos os seguintes critérios:</w:t>
      </w:r>
    </w:p>
    <w:p>
      <w:pPr>
        <w:pStyle w:val="Corpodetexto"/>
        <w:numPr>
          <w:ilvl w:val="1"/>
          <w:numId w:val="46"/>
        </w:numPr>
        <w:spacing w:lineRule="auto" w:line="360" w:before="120" w:after="120"/>
        <w:ind w:left="1134" w:hanging="567"/>
        <w:jc w:val="both"/>
        <w:rPr>
          <w:rFonts w:ascii="Arial" w:hAnsi="Arial" w:cs="Arial"/>
          <w:sz w:val="24"/>
          <w:szCs w:val="24"/>
        </w:rPr>
      </w:pPr>
      <w:r>
        <w:rPr>
          <w:rFonts w:cs="Arial" w:ascii="Arial" w:hAnsi="Arial"/>
          <w:sz w:val="24"/>
          <w:szCs w:val="24"/>
        </w:rPr>
        <w:t>Resultado igual ou menor que 60% de reconhecimento de sentenças em conjunto aberto com uso de AASI na melhor orelha e igual ou menor do que 50% na orelha a ser implantada;</w:t>
      </w:r>
    </w:p>
    <w:p>
      <w:pPr>
        <w:pStyle w:val="Corpodetexto"/>
        <w:numPr>
          <w:ilvl w:val="1"/>
          <w:numId w:val="46"/>
        </w:numPr>
        <w:spacing w:lineRule="auto" w:line="360" w:before="120" w:after="120"/>
        <w:ind w:left="1134" w:hanging="567"/>
        <w:jc w:val="both"/>
        <w:rPr>
          <w:rFonts w:ascii="Arial" w:hAnsi="Arial" w:cs="Arial"/>
          <w:sz w:val="24"/>
          <w:szCs w:val="24"/>
        </w:rPr>
      </w:pPr>
      <w:r>
        <w:rPr>
          <w:rFonts w:cs="Arial" w:ascii="Arial" w:hAnsi="Arial"/>
          <w:sz w:val="24"/>
          <w:szCs w:val="24"/>
        </w:rPr>
        <w:t>Presença de indicadores favoráveis para o desenvolvimento de linguagem oral, mensurados por protocolos padronizados;</w:t>
      </w:r>
    </w:p>
    <w:p>
      <w:pPr>
        <w:pStyle w:val="Corpodetexto"/>
        <w:numPr>
          <w:ilvl w:val="1"/>
          <w:numId w:val="46"/>
        </w:numPr>
        <w:spacing w:lineRule="auto" w:line="360" w:before="120" w:after="120"/>
        <w:ind w:left="1134" w:hanging="567"/>
        <w:jc w:val="both"/>
        <w:rPr>
          <w:rFonts w:ascii="Arial" w:hAnsi="Arial" w:cs="Arial"/>
          <w:sz w:val="24"/>
          <w:szCs w:val="24"/>
        </w:rPr>
      </w:pPr>
      <w:r>
        <w:rPr>
          <w:rFonts w:cs="Arial" w:ascii="Arial" w:hAnsi="Arial"/>
          <w:sz w:val="24"/>
          <w:szCs w:val="24"/>
        </w:rPr>
        <w:t>Adequação psicológica e motivação da família para o uso do implante coclear, manutenção/cuidados e para o processo de habilitação e reabilitação fonoaudiológica;</w:t>
      </w:r>
    </w:p>
    <w:p>
      <w:pPr>
        <w:pStyle w:val="Corpodetexto"/>
        <w:numPr>
          <w:ilvl w:val="1"/>
          <w:numId w:val="46"/>
        </w:numPr>
        <w:spacing w:lineRule="auto" w:line="360" w:before="120" w:after="120"/>
        <w:ind w:left="1134" w:hanging="567"/>
        <w:jc w:val="both"/>
        <w:rPr>
          <w:rFonts w:ascii="Arial" w:hAnsi="Arial" w:cs="Arial"/>
          <w:sz w:val="24"/>
          <w:szCs w:val="24"/>
        </w:rPr>
      </w:pPr>
      <w:r>
        <w:rPr>
          <w:rFonts w:cs="Arial" w:ascii="Arial" w:hAnsi="Arial"/>
          <w:sz w:val="24"/>
          <w:szCs w:val="24"/>
        </w:rPr>
        <w:t>Acesso e adesão à terapia fonoaudiológica com condições adequadas de habilitação e reabilitação auditiva na região de origem (referência/contra referência);</w:t>
      </w:r>
    </w:p>
    <w:p>
      <w:pPr>
        <w:pStyle w:val="Corpodetexto"/>
        <w:numPr>
          <w:ilvl w:val="1"/>
          <w:numId w:val="46"/>
        </w:numPr>
        <w:spacing w:lineRule="auto" w:line="360" w:before="120" w:after="120"/>
        <w:ind w:left="1134" w:hanging="567"/>
        <w:jc w:val="both"/>
        <w:rPr>
          <w:rFonts w:ascii="Arial" w:hAnsi="Arial" w:cs="Arial"/>
          <w:sz w:val="24"/>
          <w:szCs w:val="24"/>
        </w:rPr>
      </w:pPr>
      <w:r>
        <w:rPr>
          <w:rFonts w:cs="Arial" w:ascii="Arial" w:hAnsi="Arial"/>
          <w:sz w:val="24"/>
          <w:szCs w:val="24"/>
        </w:rPr>
        <w:t xml:space="preserve">Compromisso em zelar os componentes externos do implante coclear e realizar o processo de reabilitação fonoaudiológica. </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3. Crianças a partir de 7 até 12 anos de idade incompletos, que apresentem perda auditiva neurossensorial, de grau severo e ou profundo bilateral, quando preenchidos todos os seguintes critérios:</w:t>
      </w:r>
    </w:p>
    <w:p>
      <w:pPr>
        <w:pStyle w:val="Corpodetexto"/>
        <w:numPr>
          <w:ilvl w:val="1"/>
          <w:numId w:val="47"/>
        </w:numPr>
        <w:spacing w:lineRule="auto" w:line="360" w:before="120" w:after="120"/>
        <w:ind w:left="1134" w:hanging="567"/>
        <w:jc w:val="both"/>
        <w:rPr>
          <w:rFonts w:ascii="Arial" w:hAnsi="Arial" w:cs="Arial"/>
          <w:sz w:val="24"/>
          <w:szCs w:val="24"/>
        </w:rPr>
      </w:pPr>
      <w:r>
        <w:rPr>
          <w:rFonts w:cs="Arial" w:ascii="Arial" w:hAnsi="Arial"/>
          <w:sz w:val="24"/>
          <w:szCs w:val="24"/>
        </w:rPr>
        <w:t xml:space="preserve">Resultado igual ou menor que 60% de reconhecimento de sentenças em conjunto aberto com uso de AASI na melhor orelha e igual ou menor que 50% na orelha a ser implantada, com percepção de fala diferente de zero em conjunto fechado; </w:t>
      </w:r>
    </w:p>
    <w:p>
      <w:pPr>
        <w:pStyle w:val="Corpodetexto"/>
        <w:numPr>
          <w:ilvl w:val="1"/>
          <w:numId w:val="47"/>
        </w:numPr>
        <w:spacing w:lineRule="auto" w:line="360" w:before="120" w:after="120"/>
        <w:ind w:left="1134" w:hanging="567"/>
        <w:jc w:val="both"/>
        <w:rPr>
          <w:rFonts w:ascii="Arial" w:hAnsi="Arial" w:cs="Arial"/>
          <w:sz w:val="24"/>
          <w:szCs w:val="24"/>
        </w:rPr>
      </w:pPr>
      <w:r>
        <w:rPr>
          <w:rFonts w:cs="Arial" w:ascii="Arial" w:hAnsi="Arial"/>
          <w:sz w:val="24"/>
          <w:szCs w:val="24"/>
        </w:rPr>
        <w:t>Presença de código linguístico oral em desenvolvimento, mensurados por protocolos padronizados. Devem apresentar comportamento linguístico predominantemente oral. Podem apresentar atraso no desenvolvimento da linguagem oral considerando a sua idade cronológica, manifestado por simplificações fonológicas, alterações sintáticas (uso de frases simples compostas por três a quatro palavras), alterações semânticas (uso de vocabulário com significado em menor número e em menor complexidade, podendo ser restrito para as situações domiciliares, escolares e outras situações do seu cotidiano) e alterações no desenvolvimento pragmático, com habilidades de narrativa e argumentação ainda incipientes;</w:t>
      </w:r>
    </w:p>
    <w:p>
      <w:pPr>
        <w:pStyle w:val="Corpodetexto"/>
        <w:numPr>
          <w:ilvl w:val="1"/>
          <w:numId w:val="47"/>
        </w:numPr>
        <w:spacing w:lineRule="auto" w:line="360" w:before="120" w:after="120"/>
        <w:ind w:left="1134" w:hanging="567"/>
        <w:jc w:val="both"/>
        <w:rPr>
          <w:rFonts w:ascii="Arial" w:hAnsi="Arial" w:cs="Arial"/>
          <w:sz w:val="24"/>
          <w:szCs w:val="24"/>
        </w:rPr>
      </w:pPr>
      <w:r>
        <w:rPr>
          <w:rFonts w:cs="Arial" w:ascii="Arial" w:hAnsi="Arial"/>
          <w:sz w:val="24"/>
          <w:szCs w:val="24"/>
        </w:rPr>
        <w:t>Adequação psicológica, motivação e expectativa adequada do usuário e da família para o uso do implante coclear;</w:t>
      </w:r>
    </w:p>
    <w:p>
      <w:pPr>
        <w:pStyle w:val="Corpodetexto"/>
        <w:numPr>
          <w:ilvl w:val="1"/>
          <w:numId w:val="47"/>
        </w:numPr>
        <w:spacing w:lineRule="auto" w:line="360" w:before="120" w:after="120"/>
        <w:ind w:left="1134" w:hanging="567"/>
        <w:jc w:val="both"/>
        <w:rPr>
          <w:rFonts w:ascii="Arial" w:hAnsi="Arial" w:cs="Arial"/>
          <w:sz w:val="24"/>
          <w:szCs w:val="24"/>
        </w:rPr>
      </w:pPr>
      <w:r>
        <w:rPr>
          <w:rFonts w:cs="Arial" w:ascii="Arial" w:hAnsi="Arial"/>
          <w:sz w:val="24"/>
          <w:szCs w:val="24"/>
        </w:rPr>
        <w:t>Compromisso em zelar os componentes externos do implante coclear e realizar o processo de reabilitação fonoaudiológica;</w:t>
      </w:r>
    </w:p>
    <w:p>
      <w:pPr>
        <w:pStyle w:val="Corpodetexto"/>
        <w:numPr>
          <w:ilvl w:val="1"/>
          <w:numId w:val="47"/>
        </w:numPr>
        <w:spacing w:lineRule="auto" w:line="360" w:before="120" w:after="120"/>
        <w:ind w:left="1134" w:hanging="567"/>
        <w:jc w:val="both"/>
        <w:rPr>
          <w:rFonts w:ascii="Arial" w:hAnsi="Arial" w:cs="Arial"/>
          <w:sz w:val="24"/>
          <w:szCs w:val="24"/>
        </w:rPr>
      </w:pPr>
      <w:r>
        <w:rPr>
          <w:rFonts w:cs="Arial" w:ascii="Arial" w:hAnsi="Arial"/>
          <w:sz w:val="24"/>
          <w:szCs w:val="24"/>
        </w:rPr>
        <w:t xml:space="preserve">Acesso à terapia fonoaudiológica com condições adequadas para reabilitação auditiva na região de origem (referência/contrarreferência); </w:t>
      </w:r>
    </w:p>
    <w:p>
      <w:pPr>
        <w:pStyle w:val="Corpodetexto"/>
        <w:numPr>
          <w:ilvl w:val="1"/>
          <w:numId w:val="47"/>
        </w:numPr>
        <w:spacing w:lineRule="auto" w:line="360" w:before="120" w:after="120"/>
        <w:ind w:left="1134" w:hanging="567"/>
        <w:jc w:val="both"/>
        <w:rPr>
          <w:rFonts w:ascii="Arial" w:hAnsi="Arial" w:cs="Arial"/>
          <w:sz w:val="24"/>
          <w:szCs w:val="24"/>
        </w:rPr>
      </w:pPr>
      <w:r>
        <w:rPr>
          <w:rFonts w:cs="Arial" w:ascii="Arial" w:hAnsi="Arial"/>
          <w:sz w:val="24"/>
          <w:szCs w:val="24"/>
        </w:rPr>
        <w:t xml:space="preserve">Uso de AASI contínuo e efetivo desde no mínimo 2 (dois) anos de idade. </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4. Adolescentes a partir de 12 anos de idade, que apresentem perda auditiva neurossensorial pré-lingual de grau severo e/ou profundo bilateral, quando preenchidos os seguintes critérios:</w:t>
      </w:r>
    </w:p>
    <w:p>
      <w:pPr>
        <w:pStyle w:val="Corpodetexto"/>
        <w:numPr>
          <w:ilvl w:val="1"/>
          <w:numId w:val="48"/>
        </w:numPr>
        <w:spacing w:lineRule="auto" w:line="360" w:before="120" w:after="120"/>
        <w:ind w:left="1134" w:hanging="567"/>
        <w:jc w:val="both"/>
        <w:rPr>
          <w:rFonts w:ascii="Arial" w:hAnsi="Arial" w:cs="Arial"/>
          <w:sz w:val="24"/>
          <w:szCs w:val="24"/>
        </w:rPr>
      </w:pPr>
      <w:r>
        <w:rPr>
          <w:rFonts w:cs="Arial" w:ascii="Arial" w:hAnsi="Arial"/>
          <w:sz w:val="24"/>
          <w:szCs w:val="24"/>
        </w:rPr>
        <w:t>Resultado igual ou menor que 60% de reconhecimento de sentenças em conjunto aberto com uso de AASI na melhor orelha e igual ou menor que 50% na orelha a ser implantada, com percepção de fala diferente de zero em conjunto fechado;</w:t>
      </w:r>
    </w:p>
    <w:p>
      <w:pPr>
        <w:pStyle w:val="Corpodetexto"/>
        <w:numPr>
          <w:ilvl w:val="1"/>
          <w:numId w:val="48"/>
        </w:numPr>
        <w:spacing w:lineRule="auto" w:line="360" w:before="120" w:after="120"/>
        <w:ind w:left="1134" w:hanging="567"/>
        <w:jc w:val="both"/>
        <w:rPr>
          <w:rFonts w:ascii="Arial" w:hAnsi="Arial" w:cs="Arial"/>
          <w:sz w:val="24"/>
          <w:szCs w:val="24"/>
        </w:rPr>
      </w:pPr>
      <w:r>
        <w:rPr>
          <w:rFonts w:cs="Arial" w:ascii="Arial" w:hAnsi="Arial"/>
          <w:sz w:val="24"/>
          <w:szCs w:val="24"/>
        </w:rPr>
        <w:t xml:space="preserve">Presença de código linguístico oral estabelecido e adequadamente reabilitado pelo método oral; </w:t>
      </w:r>
    </w:p>
    <w:p>
      <w:pPr>
        <w:pStyle w:val="Corpodetexto"/>
        <w:numPr>
          <w:ilvl w:val="1"/>
          <w:numId w:val="48"/>
        </w:numPr>
        <w:spacing w:lineRule="auto" w:line="360" w:before="120" w:after="120"/>
        <w:ind w:left="1134" w:hanging="567"/>
        <w:jc w:val="both"/>
        <w:rPr>
          <w:rFonts w:ascii="Arial" w:hAnsi="Arial" w:cs="Arial"/>
          <w:sz w:val="24"/>
          <w:szCs w:val="24"/>
        </w:rPr>
      </w:pPr>
      <w:r>
        <w:rPr>
          <w:rFonts w:cs="Arial" w:ascii="Arial" w:hAnsi="Arial"/>
          <w:sz w:val="24"/>
          <w:szCs w:val="24"/>
        </w:rPr>
        <w:t>Adequação psicológica, motivação e expectativa adequada do usuário e da família para o uso do implante coclear;</w:t>
      </w:r>
    </w:p>
    <w:p>
      <w:pPr>
        <w:pStyle w:val="Corpodetexto"/>
        <w:numPr>
          <w:ilvl w:val="1"/>
          <w:numId w:val="48"/>
        </w:numPr>
        <w:spacing w:lineRule="auto" w:line="360" w:before="120" w:after="120"/>
        <w:ind w:left="1134" w:hanging="567"/>
        <w:jc w:val="both"/>
        <w:rPr>
          <w:rFonts w:ascii="Arial" w:hAnsi="Arial" w:cs="Arial"/>
          <w:sz w:val="24"/>
          <w:szCs w:val="24"/>
        </w:rPr>
      </w:pPr>
      <w:r>
        <w:rPr>
          <w:rFonts w:cs="Arial" w:ascii="Arial" w:hAnsi="Arial"/>
          <w:sz w:val="24"/>
          <w:szCs w:val="24"/>
        </w:rPr>
        <w:t>Compromisso em zelar os componentes externos do implante coclear e realizar o processo de reabilitação fonoaudiológica;</w:t>
      </w:r>
    </w:p>
    <w:p>
      <w:pPr>
        <w:pStyle w:val="Corpodetexto"/>
        <w:numPr>
          <w:ilvl w:val="1"/>
          <w:numId w:val="48"/>
        </w:numPr>
        <w:spacing w:lineRule="auto" w:line="360" w:before="120" w:after="120"/>
        <w:ind w:left="1134" w:hanging="567"/>
        <w:jc w:val="both"/>
        <w:rPr>
          <w:rFonts w:ascii="Arial" w:hAnsi="Arial" w:cs="Arial"/>
          <w:sz w:val="24"/>
          <w:szCs w:val="24"/>
        </w:rPr>
      </w:pPr>
      <w:r>
        <w:rPr>
          <w:rFonts w:cs="Arial" w:ascii="Arial" w:hAnsi="Arial"/>
          <w:sz w:val="24"/>
          <w:szCs w:val="24"/>
        </w:rPr>
        <w:t xml:space="preserve">Acesso à terapia fonoaudiológica com condições adequadas de reabilitação auditiva na região de origem (referência/contrarreferência). </w:t>
      </w:r>
    </w:p>
    <w:p>
      <w:pPr>
        <w:pStyle w:val="Corpodetexto"/>
        <w:numPr>
          <w:ilvl w:val="1"/>
          <w:numId w:val="48"/>
        </w:numPr>
        <w:spacing w:lineRule="auto" w:line="360" w:before="120" w:after="120"/>
        <w:ind w:left="1134" w:hanging="567"/>
        <w:jc w:val="both"/>
        <w:rPr>
          <w:rFonts w:ascii="Arial" w:hAnsi="Arial" w:eastAsia="Arial" w:cs="Arial"/>
          <w:sz w:val="24"/>
          <w:szCs w:val="24"/>
        </w:rPr>
      </w:pPr>
      <w:r>
        <w:rPr>
          <w:rFonts w:cs="Arial" w:ascii="Arial" w:hAnsi="Arial"/>
          <w:sz w:val="24"/>
          <w:szCs w:val="24"/>
        </w:rPr>
        <w:t>Uso de AASI efetivo desde o diagnóstico da perda auditiva severa a profunda;</w:t>
      </w:r>
    </w:p>
    <w:p>
      <w:pPr>
        <w:pStyle w:val="Corpodetexto"/>
        <w:spacing w:lineRule="auto" w:line="360" w:before="120" w:after="120"/>
        <w:jc w:val="both"/>
        <w:rPr>
          <w:rFonts w:ascii="Arial" w:hAnsi="Arial" w:cs="Arial"/>
          <w:sz w:val="24"/>
          <w:szCs w:val="24"/>
        </w:rPr>
      </w:pPr>
      <w:r>
        <w:rPr>
          <w:rFonts w:eastAsia="Arial" w:cs="Arial" w:ascii="Arial" w:hAnsi="Arial"/>
          <w:sz w:val="24"/>
          <w:szCs w:val="24"/>
        </w:rPr>
        <w:t xml:space="preserve"> </w:t>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5. Adolescentes a partir de 12 anos de idade, que apresentem perda auditiva neurossensorial pós-lingual, de grau severo e ou profundo, bilateral, quando preenchidos os seguintes critérios:</w:t>
      </w:r>
    </w:p>
    <w:p>
      <w:pPr>
        <w:pStyle w:val="Corpodetexto"/>
        <w:numPr>
          <w:ilvl w:val="1"/>
          <w:numId w:val="49"/>
        </w:numPr>
        <w:spacing w:lineRule="auto" w:line="360" w:before="120" w:after="120"/>
        <w:ind w:left="1134" w:hanging="567"/>
        <w:jc w:val="both"/>
        <w:rPr>
          <w:rFonts w:ascii="Arial" w:hAnsi="Arial" w:cs="Arial"/>
          <w:sz w:val="24"/>
          <w:szCs w:val="24"/>
        </w:rPr>
      </w:pPr>
      <w:r>
        <w:rPr>
          <w:rFonts w:cs="Arial" w:ascii="Arial" w:hAnsi="Arial"/>
          <w:sz w:val="24"/>
          <w:szCs w:val="24"/>
        </w:rPr>
        <w:t xml:space="preserve">Resultado igual ou menor que 60% de reconhecimento de sentenças em conjunto aberto com uso de AASI na melhor orelha e igual ou menor do que 50% na orelha a ser implantada; </w:t>
      </w:r>
    </w:p>
    <w:p>
      <w:pPr>
        <w:pStyle w:val="Corpodetexto"/>
        <w:numPr>
          <w:ilvl w:val="1"/>
          <w:numId w:val="49"/>
        </w:numPr>
        <w:spacing w:lineRule="auto" w:line="360" w:before="120" w:after="120"/>
        <w:ind w:left="1134" w:hanging="567"/>
        <w:jc w:val="both"/>
        <w:rPr>
          <w:rFonts w:ascii="Arial" w:hAnsi="Arial" w:cs="Arial"/>
          <w:sz w:val="24"/>
          <w:szCs w:val="24"/>
        </w:rPr>
      </w:pPr>
      <w:r>
        <w:rPr>
          <w:rFonts w:cs="Arial" w:ascii="Arial" w:hAnsi="Arial"/>
          <w:sz w:val="24"/>
          <w:szCs w:val="24"/>
        </w:rPr>
        <w:t xml:space="preserve">Adequação psicológica, motivação e expectativa adequada do usuário e da família para o uso do implante coclear; </w:t>
      </w:r>
    </w:p>
    <w:p>
      <w:pPr>
        <w:pStyle w:val="Corpodetexto"/>
        <w:numPr>
          <w:ilvl w:val="1"/>
          <w:numId w:val="49"/>
        </w:numPr>
        <w:spacing w:lineRule="auto" w:line="360" w:before="120" w:after="120"/>
        <w:ind w:left="1134" w:hanging="567"/>
        <w:jc w:val="both"/>
        <w:rPr>
          <w:rFonts w:ascii="Arial" w:hAnsi="Arial" w:cs="Arial"/>
          <w:sz w:val="24"/>
          <w:szCs w:val="24"/>
        </w:rPr>
      </w:pPr>
      <w:r>
        <w:rPr>
          <w:rFonts w:cs="Arial" w:ascii="Arial" w:hAnsi="Arial"/>
          <w:sz w:val="24"/>
          <w:szCs w:val="24"/>
        </w:rPr>
        <w:t>Acesso e adesão à terapia fonoaudiológica com condições adequadas de reabilitação auditiva na região de origem (referência/contrarreferência);</w:t>
      </w:r>
    </w:p>
    <w:p>
      <w:pPr>
        <w:pStyle w:val="Corpodetexto"/>
        <w:numPr>
          <w:ilvl w:val="1"/>
          <w:numId w:val="49"/>
        </w:numPr>
        <w:spacing w:lineRule="auto" w:line="360" w:before="120" w:after="120"/>
        <w:ind w:left="1134" w:hanging="567"/>
        <w:jc w:val="both"/>
        <w:rPr>
          <w:rFonts w:ascii="Arial" w:hAnsi="Arial" w:cs="Arial"/>
          <w:sz w:val="24"/>
          <w:szCs w:val="24"/>
        </w:rPr>
      </w:pPr>
      <w:r>
        <w:rPr>
          <w:rFonts w:cs="Arial" w:ascii="Arial" w:hAnsi="Arial"/>
          <w:sz w:val="24"/>
          <w:szCs w:val="24"/>
        </w:rPr>
        <w:t>Compromisso em zelar os componentes externos do implante coclear e realizar o processo de reabilitação fonoaudiológica.</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6. Em adultos que apresentem perda auditiva neurossensorial pré-lingual de grau severo e ou profundo bilateral, quando preenchidos os seguintes critérios:</w:t>
      </w:r>
    </w:p>
    <w:p>
      <w:pPr>
        <w:pStyle w:val="Corpodetexto"/>
        <w:numPr>
          <w:ilvl w:val="1"/>
          <w:numId w:val="50"/>
        </w:numPr>
        <w:spacing w:lineRule="auto" w:line="360" w:before="120" w:after="120"/>
        <w:ind w:left="1134" w:hanging="567"/>
        <w:jc w:val="both"/>
        <w:rPr>
          <w:rFonts w:ascii="Arial" w:hAnsi="Arial" w:cs="Arial"/>
          <w:sz w:val="24"/>
          <w:szCs w:val="24"/>
        </w:rPr>
      </w:pPr>
      <w:r>
        <w:rPr>
          <w:rFonts w:cs="Arial" w:ascii="Arial" w:hAnsi="Arial"/>
          <w:sz w:val="24"/>
          <w:szCs w:val="24"/>
        </w:rPr>
        <w:t xml:space="preserve">Resultado igual ou menor que 60% de reconhecimento de sentenças em conjunto aberto com uso de AASI na melhor orelha e igual ou menor que 50% na orelha a ser implantada, com percepção de fala diferente de zero em apresentação em conjunto fechado; </w:t>
      </w:r>
    </w:p>
    <w:p>
      <w:pPr>
        <w:pStyle w:val="Corpodetexto"/>
        <w:numPr>
          <w:ilvl w:val="1"/>
          <w:numId w:val="50"/>
        </w:numPr>
        <w:spacing w:lineRule="auto" w:line="360" w:before="120" w:after="120"/>
        <w:ind w:left="1134" w:hanging="567"/>
        <w:jc w:val="both"/>
        <w:rPr>
          <w:rFonts w:ascii="Arial" w:hAnsi="Arial" w:cs="Arial"/>
          <w:sz w:val="24"/>
          <w:szCs w:val="24"/>
        </w:rPr>
      </w:pPr>
      <w:r>
        <w:rPr>
          <w:rFonts w:cs="Arial" w:ascii="Arial" w:hAnsi="Arial"/>
          <w:sz w:val="24"/>
          <w:szCs w:val="24"/>
        </w:rPr>
        <w:t xml:space="preserve">Presença de código linguístico estabelecido e adequadamente reabilitado pelo método oral; </w:t>
      </w:r>
    </w:p>
    <w:p>
      <w:pPr>
        <w:pStyle w:val="Corpodetexto"/>
        <w:numPr>
          <w:ilvl w:val="1"/>
          <w:numId w:val="50"/>
        </w:numPr>
        <w:spacing w:lineRule="auto" w:line="360" w:before="120" w:after="120"/>
        <w:ind w:left="1134" w:hanging="567"/>
        <w:jc w:val="both"/>
        <w:rPr>
          <w:rFonts w:ascii="Arial" w:hAnsi="Arial" w:cs="Arial"/>
          <w:sz w:val="24"/>
          <w:szCs w:val="24"/>
        </w:rPr>
      </w:pPr>
      <w:r>
        <w:rPr>
          <w:rFonts w:cs="Arial" w:ascii="Arial" w:hAnsi="Arial"/>
          <w:sz w:val="24"/>
          <w:szCs w:val="24"/>
        </w:rPr>
        <w:t>Adequação psicológica e motivação adequada do usuário para o uso do implante coclear, manutenção/cuidados e para o processo de reabilitação fonoaudiológica;</w:t>
      </w:r>
    </w:p>
    <w:p>
      <w:pPr>
        <w:pStyle w:val="Corpodetexto"/>
        <w:numPr>
          <w:ilvl w:val="1"/>
          <w:numId w:val="50"/>
        </w:numPr>
        <w:spacing w:lineRule="auto" w:line="360" w:before="120" w:after="120"/>
        <w:ind w:left="1134" w:hanging="567"/>
        <w:jc w:val="both"/>
        <w:rPr>
          <w:rFonts w:ascii="Arial" w:hAnsi="Arial" w:cs="Arial"/>
          <w:sz w:val="24"/>
          <w:szCs w:val="24"/>
        </w:rPr>
      </w:pPr>
      <w:r>
        <w:rPr>
          <w:rFonts w:cs="Arial" w:ascii="Arial" w:hAnsi="Arial"/>
          <w:sz w:val="24"/>
          <w:szCs w:val="24"/>
        </w:rPr>
        <w:t>Condições adequadas de reabilitação na cidade de origem (referência/contrarreferência).</w:t>
      </w:r>
    </w:p>
    <w:p>
      <w:pPr>
        <w:pStyle w:val="Corpodetexto"/>
        <w:numPr>
          <w:ilvl w:val="1"/>
          <w:numId w:val="50"/>
        </w:numPr>
        <w:spacing w:lineRule="auto" w:line="360" w:before="120" w:after="120"/>
        <w:ind w:left="1134" w:hanging="567"/>
        <w:jc w:val="both"/>
        <w:rPr>
          <w:rFonts w:ascii="Arial" w:hAnsi="Arial" w:cs="Arial"/>
          <w:sz w:val="24"/>
          <w:szCs w:val="24"/>
        </w:rPr>
      </w:pPr>
      <w:r>
        <w:rPr>
          <w:rFonts w:cs="Arial" w:ascii="Arial" w:hAnsi="Arial"/>
          <w:sz w:val="24"/>
          <w:szCs w:val="24"/>
        </w:rPr>
        <w:t>Uso de AASI efetivo desde o diagnóstico da perda auditiva severa a profunda.</w:t>
      </w:r>
    </w:p>
    <w:p>
      <w:pPr>
        <w:pStyle w:val="Corpodetexto"/>
        <w:numPr>
          <w:ilvl w:val="1"/>
          <w:numId w:val="50"/>
        </w:numPr>
        <w:spacing w:lineRule="auto" w:line="360" w:before="120" w:after="120"/>
        <w:ind w:left="1134" w:hanging="567"/>
        <w:jc w:val="both"/>
        <w:rPr>
          <w:rFonts w:ascii="Arial" w:hAnsi="Arial" w:cs="Arial"/>
          <w:sz w:val="24"/>
          <w:szCs w:val="24"/>
        </w:rPr>
      </w:pPr>
      <w:r>
        <w:rPr>
          <w:rFonts w:cs="Arial" w:ascii="Arial" w:hAnsi="Arial"/>
          <w:sz w:val="24"/>
          <w:szCs w:val="24"/>
        </w:rPr>
        <w:t>Compromisso em zelar os componentes externos do implante coclear e realizar o processo de reabilitação fonoaudiológica.</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Corpodetexto"/>
        <w:spacing w:lineRule="auto" w:line="360" w:before="120" w:after="120"/>
        <w:ind w:firstLine="567"/>
        <w:jc w:val="both"/>
        <w:rPr>
          <w:rFonts w:ascii="Arial" w:hAnsi="Arial" w:eastAsia="Arial" w:cs="Arial"/>
          <w:sz w:val="24"/>
          <w:szCs w:val="24"/>
        </w:rPr>
      </w:pPr>
      <w:r>
        <w:rPr>
          <w:rFonts w:cs="Arial" w:ascii="Arial" w:hAnsi="Arial"/>
          <w:sz w:val="24"/>
          <w:szCs w:val="24"/>
        </w:rPr>
        <w:t>7. Em adultos que apresentem perda auditiva neurossensorial pós-lingual de grau severo ou profundo bilateral, quando preenchidos os seguintes critérios:</w:t>
      </w:r>
    </w:p>
    <w:p>
      <w:pPr>
        <w:pStyle w:val="Corpodetexto"/>
        <w:numPr>
          <w:ilvl w:val="1"/>
          <w:numId w:val="51"/>
        </w:numPr>
        <w:tabs>
          <w:tab w:val="left" w:pos="567" w:leader="none"/>
        </w:tabs>
        <w:spacing w:lineRule="auto" w:line="360" w:before="120" w:after="120"/>
        <w:ind w:left="1134" w:hanging="567"/>
        <w:jc w:val="both"/>
        <w:rPr>
          <w:rFonts w:ascii="Arial" w:hAnsi="Arial" w:cs="Arial"/>
          <w:sz w:val="24"/>
          <w:szCs w:val="24"/>
        </w:rPr>
      </w:pPr>
      <w:r>
        <w:rPr>
          <w:rFonts w:cs="Arial" w:ascii="Arial" w:hAnsi="Arial"/>
          <w:sz w:val="24"/>
          <w:szCs w:val="24"/>
        </w:rPr>
        <w:t>Resultado igual ou menor que 60% de reconhecimento de sentenças em conjunto aberto com uso de AASI na melhor orelha e igual ou menor do que 50% na orelha a ser implantada;</w:t>
      </w:r>
    </w:p>
    <w:p>
      <w:pPr>
        <w:pStyle w:val="Corpodetexto"/>
        <w:numPr>
          <w:ilvl w:val="1"/>
          <w:numId w:val="51"/>
        </w:numPr>
        <w:tabs>
          <w:tab w:val="left" w:pos="567" w:leader="none"/>
        </w:tabs>
        <w:spacing w:lineRule="auto" w:line="360" w:before="0" w:after="0"/>
        <w:ind w:left="1134" w:hanging="567"/>
        <w:jc w:val="both"/>
        <w:rPr>
          <w:rFonts w:ascii="Arial" w:hAnsi="Arial" w:cs="Arial"/>
          <w:sz w:val="24"/>
          <w:szCs w:val="24"/>
        </w:rPr>
      </w:pPr>
      <w:r>
        <w:rPr>
          <w:rFonts w:cs="Arial" w:ascii="Arial" w:hAnsi="Arial"/>
          <w:sz w:val="24"/>
          <w:szCs w:val="24"/>
        </w:rPr>
        <w:t>Adequação psicológica e motivação do usuário para o uso do implante coclear, manutenção/cuidados e para o processo de reabilitação fonoaudiológica;</w:t>
      </w:r>
    </w:p>
    <w:p>
      <w:pPr>
        <w:pStyle w:val="Corpodetexto"/>
        <w:numPr>
          <w:ilvl w:val="1"/>
          <w:numId w:val="51"/>
        </w:numPr>
        <w:tabs>
          <w:tab w:val="left" w:pos="567" w:leader="none"/>
        </w:tabs>
        <w:spacing w:lineRule="auto" w:line="360" w:before="0" w:after="0"/>
        <w:ind w:left="1134" w:hanging="567"/>
        <w:jc w:val="both"/>
        <w:rPr>
          <w:rFonts w:ascii="Arial" w:hAnsi="Arial" w:cs="Arial"/>
          <w:sz w:val="24"/>
          <w:szCs w:val="24"/>
        </w:rPr>
      </w:pPr>
      <w:r>
        <w:rPr>
          <w:rFonts w:cs="Arial" w:ascii="Arial" w:hAnsi="Arial"/>
          <w:sz w:val="24"/>
          <w:szCs w:val="24"/>
        </w:rPr>
        <w:t>Condições adequadas de reabilitação na cidade de origem (referência/contrarreferência).</w:t>
      </w:r>
    </w:p>
    <w:p>
      <w:pPr>
        <w:pStyle w:val="Corpodetexto"/>
        <w:numPr>
          <w:ilvl w:val="1"/>
          <w:numId w:val="51"/>
        </w:numPr>
        <w:tabs>
          <w:tab w:val="left" w:pos="567" w:leader="none"/>
        </w:tabs>
        <w:spacing w:lineRule="auto" w:line="360" w:before="0" w:after="0"/>
        <w:ind w:left="1134" w:hanging="567"/>
        <w:jc w:val="both"/>
        <w:rPr>
          <w:rFonts w:ascii="Arial" w:hAnsi="Arial" w:cs="Arial"/>
          <w:sz w:val="24"/>
          <w:szCs w:val="24"/>
        </w:rPr>
      </w:pPr>
      <w:r>
        <w:rPr>
          <w:rFonts w:cs="Arial" w:ascii="Arial" w:hAnsi="Arial"/>
          <w:sz w:val="24"/>
          <w:szCs w:val="24"/>
        </w:rPr>
        <w:t>Compromisso em zelar dos componentes externos do implante coclear e realizar o processo de reabilitação fonoaudiológica.</w:t>
      </w:r>
    </w:p>
    <w:p>
      <w:pPr>
        <w:pStyle w:val="Corpodetexto"/>
        <w:spacing w:lineRule="auto" w:line="360" w:before="0" w:after="0"/>
        <w:jc w:val="both"/>
        <w:rPr>
          <w:rFonts w:ascii="Arial" w:hAnsi="Arial" w:cs="Arial"/>
          <w:b/>
          <w:b/>
          <w:sz w:val="24"/>
          <w:szCs w:val="24"/>
        </w:rPr>
      </w:pPr>
      <w:r>
        <w:rPr>
          <w:rFonts w:cs="Arial" w:ascii="Arial" w:hAnsi="Arial"/>
          <w:b/>
          <w:sz w:val="24"/>
          <w:szCs w:val="24"/>
        </w:rPr>
      </w:r>
    </w:p>
    <w:p>
      <w:pPr>
        <w:pStyle w:val="Ttulo4"/>
        <w:numPr>
          <w:ilvl w:val="3"/>
          <w:numId w:val="3"/>
        </w:numPr>
        <w:rPr>
          <w:rFonts w:ascii="Arial" w:hAnsi="Arial" w:cs="Arial"/>
          <w:b/>
          <w:b/>
          <w:sz w:val="24"/>
          <w:szCs w:val="24"/>
        </w:rPr>
      </w:pPr>
      <w:bookmarkStart w:id="72" w:name="_Toc434148359"/>
      <w:r>
        <w:rPr>
          <w:rFonts w:cs="Arial" w:ascii="Arial" w:hAnsi="Arial"/>
          <w:b/>
          <w:sz w:val="24"/>
          <w:szCs w:val="24"/>
        </w:rPr>
        <w:t>6.3.3.2 Critérios de contraindicação para o Implante Coclear</w:t>
      </w:r>
      <w:bookmarkEnd w:id="72"/>
      <w:r>
        <w:rPr>
          <w:rFonts w:cs="Arial" w:ascii="Arial" w:hAnsi="Arial"/>
          <w:b/>
          <w:sz w:val="24"/>
          <w:szCs w:val="24"/>
        </w:rPr>
        <w:t xml:space="preserve"> </w:t>
      </w:r>
    </w:p>
    <w:p>
      <w:pPr>
        <w:pStyle w:val="Normal"/>
        <w:rPr/>
      </w:pPr>
      <w:r>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 xml:space="preserve">Está contraindicado o implante coclear nos seguintes casos: </w:t>
      </w:r>
    </w:p>
    <w:p>
      <w:pPr>
        <w:pStyle w:val="Corpodetexto"/>
        <w:numPr>
          <w:ilvl w:val="3"/>
          <w:numId w:val="52"/>
        </w:numPr>
        <w:spacing w:lineRule="auto" w:line="360" w:before="120" w:after="120"/>
        <w:ind w:left="1134" w:hanging="567"/>
        <w:jc w:val="both"/>
        <w:rPr>
          <w:rFonts w:ascii="Arial" w:hAnsi="Arial" w:cs="Arial"/>
          <w:sz w:val="24"/>
          <w:szCs w:val="24"/>
        </w:rPr>
      </w:pPr>
      <w:r>
        <w:rPr>
          <w:rFonts w:cs="Arial" w:ascii="Arial" w:hAnsi="Arial"/>
          <w:sz w:val="24"/>
          <w:szCs w:val="24"/>
        </w:rPr>
        <w:t xml:space="preserve">Surdez pré-lingual em adolescentes e adultos não reabilitados por método oral; </w:t>
      </w:r>
    </w:p>
    <w:p>
      <w:pPr>
        <w:pStyle w:val="Corpodetexto"/>
        <w:numPr>
          <w:ilvl w:val="3"/>
          <w:numId w:val="52"/>
        </w:numPr>
        <w:spacing w:lineRule="auto" w:line="360" w:before="120" w:after="120"/>
        <w:ind w:left="1134" w:hanging="567"/>
        <w:jc w:val="both"/>
        <w:rPr>
          <w:rFonts w:ascii="Arial" w:hAnsi="Arial" w:cs="Arial"/>
          <w:sz w:val="24"/>
          <w:szCs w:val="24"/>
        </w:rPr>
      </w:pPr>
      <w:r>
        <w:rPr>
          <w:rFonts w:cs="Arial" w:ascii="Arial" w:hAnsi="Arial"/>
          <w:sz w:val="24"/>
          <w:szCs w:val="24"/>
        </w:rPr>
        <w:t xml:space="preserve">Usuários com agenesia coclear ou do nervo coclear bilateral; </w:t>
      </w:r>
    </w:p>
    <w:p>
      <w:pPr>
        <w:pStyle w:val="Corpodetexto"/>
        <w:numPr>
          <w:ilvl w:val="3"/>
          <w:numId w:val="52"/>
        </w:numPr>
        <w:spacing w:lineRule="auto" w:line="360" w:before="120" w:after="120"/>
        <w:ind w:left="1134" w:hanging="567"/>
        <w:jc w:val="both"/>
        <w:rPr>
          <w:rFonts w:ascii="Arial" w:hAnsi="Arial" w:cs="Arial"/>
          <w:sz w:val="24"/>
          <w:szCs w:val="24"/>
        </w:rPr>
      </w:pPr>
      <w:r>
        <w:rPr>
          <w:rFonts w:cs="Arial" w:ascii="Arial" w:hAnsi="Arial"/>
          <w:sz w:val="24"/>
          <w:szCs w:val="24"/>
        </w:rPr>
        <w:t>Contraindicações clínicas.</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Ttulo4"/>
        <w:numPr>
          <w:ilvl w:val="3"/>
          <w:numId w:val="3"/>
        </w:numPr>
        <w:rPr>
          <w:rFonts w:ascii="Arial" w:hAnsi="Arial" w:cs="Arial"/>
          <w:b/>
          <w:b/>
          <w:sz w:val="24"/>
          <w:szCs w:val="24"/>
        </w:rPr>
      </w:pPr>
      <w:bookmarkStart w:id="73" w:name="_Toc434148360"/>
      <w:r>
        <w:rPr>
          <w:rFonts w:cs="Arial" w:ascii="Arial" w:hAnsi="Arial"/>
          <w:b/>
          <w:sz w:val="24"/>
          <w:szCs w:val="24"/>
        </w:rPr>
        <w:t>6.3.3.3 Critérios Especiais para o Implante Coclear</w:t>
      </w:r>
      <w:bookmarkEnd w:id="73"/>
      <w:r>
        <w:rPr>
          <w:rFonts w:cs="Arial" w:ascii="Arial" w:hAnsi="Arial"/>
          <w:b/>
          <w:sz w:val="24"/>
          <w:szCs w:val="24"/>
        </w:rPr>
        <w:t xml:space="preserve"> </w:t>
      </w:r>
    </w:p>
    <w:p>
      <w:pPr>
        <w:pStyle w:val="Normal"/>
        <w:rPr/>
      </w:pPr>
      <w:r>
        <w:rPr/>
      </w:r>
    </w:p>
    <w:p>
      <w:pPr>
        <w:pStyle w:val="Corpodetexto"/>
        <w:spacing w:lineRule="auto" w:line="360" w:before="120" w:after="120"/>
        <w:ind w:firstLine="720"/>
        <w:jc w:val="both"/>
        <w:rPr>
          <w:rFonts w:ascii="Arial" w:hAnsi="Arial" w:cs="Arial"/>
          <w:sz w:val="24"/>
          <w:szCs w:val="24"/>
        </w:rPr>
      </w:pPr>
      <w:r>
        <w:rPr>
          <w:rFonts w:cs="Arial" w:ascii="Arial" w:hAnsi="Arial"/>
          <w:sz w:val="24"/>
          <w:szCs w:val="24"/>
        </w:rPr>
        <w:t>1. Espectro da Neuropatia Auditiva</w:t>
      </w:r>
    </w:p>
    <w:p>
      <w:pPr>
        <w:pStyle w:val="Corpodetexto"/>
        <w:spacing w:lineRule="auto" w:line="360" w:before="120" w:after="120"/>
        <w:ind w:firstLine="720"/>
        <w:jc w:val="both"/>
        <w:rPr>
          <w:rFonts w:ascii="Arial" w:hAnsi="Arial" w:cs="Arial"/>
          <w:sz w:val="24"/>
          <w:szCs w:val="24"/>
        </w:rPr>
      </w:pPr>
      <w:r>
        <w:rPr>
          <w:rFonts w:cs="Arial" w:ascii="Arial" w:hAnsi="Arial"/>
          <w:sz w:val="24"/>
          <w:szCs w:val="24"/>
        </w:rPr>
        <w:t xml:space="preserve">1.1. Em </w:t>
      </w:r>
      <w:bookmarkStart w:id="74" w:name="__DdeLink__2939_41855624"/>
      <w:bookmarkEnd w:id="74"/>
      <w:r>
        <w:rPr>
          <w:rFonts w:cs="Arial" w:ascii="Arial" w:hAnsi="Arial"/>
          <w:sz w:val="24"/>
          <w:szCs w:val="24"/>
        </w:rPr>
        <w:t>crianças pré-linguais</w:t>
      </w:r>
    </w:p>
    <w:p>
      <w:pPr>
        <w:pStyle w:val="Corpodetexto"/>
        <w:numPr>
          <w:ilvl w:val="1"/>
          <w:numId w:val="53"/>
        </w:numPr>
        <w:spacing w:lineRule="auto" w:line="360" w:before="120" w:after="120"/>
        <w:ind w:left="1134" w:hanging="567"/>
        <w:jc w:val="both"/>
        <w:rPr>
          <w:rFonts w:ascii="Arial" w:hAnsi="Arial" w:cs="Arial"/>
          <w:sz w:val="24"/>
          <w:szCs w:val="24"/>
        </w:rPr>
      </w:pPr>
      <w:r>
        <w:rPr>
          <w:rFonts w:cs="Arial" w:ascii="Arial" w:hAnsi="Arial"/>
          <w:sz w:val="24"/>
          <w:szCs w:val="24"/>
        </w:rPr>
        <w:t xml:space="preserve">Uso obrigatório de AASI por um tempo mínimo de 12 meses em prova terapêutica fonoaudiológica; </w:t>
      </w:r>
    </w:p>
    <w:p>
      <w:pPr>
        <w:pStyle w:val="Corpodetexto"/>
        <w:numPr>
          <w:ilvl w:val="1"/>
          <w:numId w:val="53"/>
        </w:numPr>
        <w:spacing w:lineRule="auto" w:line="360" w:before="120" w:after="120"/>
        <w:ind w:left="1134" w:hanging="567"/>
        <w:jc w:val="both"/>
        <w:rPr>
          <w:rFonts w:ascii="Arial" w:hAnsi="Arial" w:cs="Arial"/>
          <w:sz w:val="24"/>
          <w:szCs w:val="24"/>
        </w:rPr>
      </w:pPr>
      <w:r>
        <w:rPr>
          <w:rFonts w:cs="Arial" w:ascii="Arial" w:hAnsi="Arial"/>
          <w:sz w:val="24"/>
          <w:szCs w:val="24"/>
        </w:rPr>
        <w:t>Nestes casos o desempenho nos testes de percepção auditiva da fala é soberano ao grau da perda auditiva;</w:t>
      </w:r>
    </w:p>
    <w:p>
      <w:pPr>
        <w:pStyle w:val="Corpodetexto"/>
        <w:numPr>
          <w:ilvl w:val="1"/>
          <w:numId w:val="53"/>
        </w:numPr>
        <w:spacing w:lineRule="auto" w:line="360" w:before="120" w:after="120"/>
        <w:ind w:left="1134" w:hanging="567"/>
        <w:jc w:val="both"/>
        <w:rPr>
          <w:rFonts w:ascii="Arial" w:hAnsi="Arial" w:cs="Arial"/>
          <w:sz w:val="24"/>
          <w:szCs w:val="24"/>
        </w:rPr>
      </w:pPr>
      <w:r>
        <w:rPr>
          <w:rFonts w:cs="Arial" w:ascii="Arial" w:hAnsi="Arial"/>
          <w:sz w:val="24"/>
          <w:szCs w:val="24"/>
        </w:rPr>
        <w:t>Idade mínima de 30 meses para as perdas moderadas e 18 meses para as perdas severas a profunda. A idade mínima não é exigência nos casos com etiologia genética do espectro da neuropatia auditiva comprovada;</w:t>
      </w:r>
    </w:p>
    <w:p>
      <w:pPr>
        <w:pStyle w:val="Corpodetexto"/>
        <w:numPr>
          <w:ilvl w:val="1"/>
          <w:numId w:val="53"/>
        </w:numPr>
        <w:spacing w:lineRule="auto" w:line="360" w:before="120" w:after="120"/>
        <w:ind w:left="1134" w:hanging="567"/>
        <w:jc w:val="both"/>
        <w:rPr>
          <w:rFonts w:ascii="Arial" w:hAnsi="Arial" w:cs="Arial"/>
          <w:sz w:val="24"/>
          <w:szCs w:val="24"/>
        </w:rPr>
      </w:pPr>
      <w:r>
        <w:rPr>
          <w:rFonts w:cs="Arial" w:ascii="Arial" w:hAnsi="Arial"/>
          <w:sz w:val="24"/>
          <w:szCs w:val="24"/>
        </w:rPr>
        <w:t>Os demais critérios de indicação do implante coclear seguem os constantes no item 6.3.3.1.</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1.2. Em usuários pós-linguais</w:t>
      </w:r>
    </w:p>
    <w:p>
      <w:pPr>
        <w:pStyle w:val="Corpodetexto"/>
        <w:numPr>
          <w:ilvl w:val="1"/>
          <w:numId w:val="54"/>
        </w:numPr>
        <w:spacing w:lineRule="auto" w:line="360" w:before="120" w:after="120"/>
        <w:ind w:left="1134" w:hanging="567"/>
        <w:jc w:val="both"/>
        <w:rPr>
          <w:rFonts w:ascii="Arial" w:hAnsi="Arial" w:cs="Arial"/>
          <w:sz w:val="24"/>
          <w:szCs w:val="24"/>
        </w:rPr>
      </w:pPr>
      <w:r>
        <w:rPr>
          <w:rFonts w:cs="Arial" w:ascii="Arial" w:hAnsi="Arial"/>
          <w:sz w:val="24"/>
          <w:szCs w:val="24"/>
        </w:rPr>
        <w:t xml:space="preserve">Nestes casos o desempenho nos testes de percepção auditiva da fala é soberano ao grau da perda auditiva; </w:t>
      </w:r>
    </w:p>
    <w:p>
      <w:pPr>
        <w:pStyle w:val="Corpodetexto"/>
        <w:numPr>
          <w:ilvl w:val="1"/>
          <w:numId w:val="54"/>
        </w:numPr>
        <w:spacing w:lineRule="auto" w:line="360" w:before="120" w:after="120"/>
        <w:ind w:left="1134" w:hanging="567"/>
        <w:jc w:val="both"/>
        <w:rPr>
          <w:rFonts w:ascii="Arial" w:hAnsi="Arial" w:cs="Arial"/>
          <w:sz w:val="24"/>
          <w:szCs w:val="24"/>
        </w:rPr>
      </w:pPr>
      <w:r>
        <w:rPr>
          <w:rFonts w:cs="Arial" w:ascii="Arial" w:hAnsi="Arial"/>
          <w:sz w:val="24"/>
          <w:szCs w:val="24"/>
        </w:rPr>
        <w:t xml:space="preserve">Os demais critérios de indicação do implante coclear seguem os constantes no item 6.3.3.1. </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2. Cegueira associada independente da idade e época da instalação da surdez, o implante coclear está indicado quando:</w:t>
      </w:r>
    </w:p>
    <w:p>
      <w:pPr>
        <w:pStyle w:val="Corpodetexto"/>
        <w:numPr>
          <w:ilvl w:val="1"/>
          <w:numId w:val="55"/>
        </w:numPr>
        <w:spacing w:lineRule="auto" w:line="360" w:before="120" w:after="120"/>
        <w:ind w:left="1134" w:hanging="567"/>
        <w:jc w:val="both"/>
        <w:rPr>
          <w:rFonts w:ascii="Arial" w:hAnsi="Arial" w:cs="Arial"/>
          <w:sz w:val="24"/>
          <w:szCs w:val="24"/>
        </w:rPr>
      </w:pPr>
      <w:r>
        <w:rPr>
          <w:rFonts w:cs="Arial" w:ascii="Arial" w:hAnsi="Arial"/>
          <w:sz w:val="24"/>
          <w:szCs w:val="24"/>
        </w:rPr>
        <w:t xml:space="preserve">Resultado igual ou menor que 60% de reconhecimento de sentenças em conjunto aberto com uso de AASI na melhor orelha e igual ou menor do que 50% na orelha a ser implantada; </w:t>
      </w:r>
    </w:p>
    <w:p>
      <w:pPr>
        <w:pStyle w:val="Corpodetexto"/>
        <w:numPr>
          <w:ilvl w:val="1"/>
          <w:numId w:val="55"/>
        </w:numPr>
        <w:spacing w:lineRule="auto" w:line="360" w:before="120" w:after="120"/>
        <w:ind w:left="1134" w:hanging="567"/>
        <w:jc w:val="both"/>
        <w:rPr>
          <w:rFonts w:ascii="Arial" w:hAnsi="Arial" w:cs="Arial"/>
          <w:sz w:val="24"/>
          <w:szCs w:val="24"/>
        </w:rPr>
      </w:pPr>
      <w:r>
        <w:rPr>
          <w:rFonts w:cs="Arial" w:ascii="Arial" w:hAnsi="Arial"/>
          <w:sz w:val="24"/>
          <w:szCs w:val="24"/>
        </w:rPr>
        <w:t xml:space="preserve">Adequação psicológica e motivação do usuário para o uso do implante coclear, manutenção/cuidados e para o processo de reabilitação fonoaudiológica; </w:t>
      </w:r>
    </w:p>
    <w:p>
      <w:pPr>
        <w:pStyle w:val="Corpodetexto"/>
        <w:numPr>
          <w:ilvl w:val="1"/>
          <w:numId w:val="55"/>
        </w:numPr>
        <w:spacing w:lineRule="auto" w:line="360" w:before="120" w:after="120"/>
        <w:ind w:left="1134" w:hanging="567"/>
        <w:jc w:val="both"/>
        <w:rPr>
          <w:rFonts w:ascii="Arial" w:hAnsi="Arial" w:cs="Arial"/>
          <w:sz w:val="24"/>
          <w:szCs w:val="24"/>
        </w:rPr>
      </w:pPr>
      <w:r>
        <w:rPr>
          <w:rFonts w:cs="Arial" w:ascii="Arial" w:hAnsi="Arial"/>
          <w:sz w:val="24"/>
          <w:szCs w:val="24"/>
        </w:rPr>
        <w:t>Condições adequadas de reabilitação na cidade de origem (referência/contrarreferência);</w:t>
      </w:r>
    </w:p>
    <w:p>
      <w:pPr>
        <w:pStyle w:val="Corpodetexto"/>
        <w:numPr>
          <w:ilvl w:val="1"/>
          <w:numId w:val="55"/>
        </w:numPr>
        <w:spacing w:lineRule="auto" w:line="360" w:before="120" w:after="120"/>
        <w:ind w:left="1134" w:hanging="567"/>
        <w:jc w:val="both"/>
        <w:rPr>
          <w:rFonts w:ascii="Arial" w:hAnsi="Arial" w:cs="Arial"/>
          <w:sz w:val="24"/>
          <w:szCs w:val="24"/>
        </w:rPr>
      </w:pPr>
      <w:r>
        <w:rPr>
          <w:rFonts w:cs="Arial" w:ascii="Arial" w:hAnsi="Arial"/>
          <w:sz w:val="24"/>
          <w:szCs w:val="24"/>
        </w:rPr>
        <w:t>Compromisso em zelar dos componentes externos do implante coclear e realizar o processo de reabilitação fonoaudiológica;</w:t>
      </w:r>
    </w:p>
    <w:p>
      <w:pPr>
        <w:pStyle w:val="Corpodetexto"/>
        <w:numPr>
          <w:ilvl w:val="1"/>
          <w:numId w:val="55"/>
        </w:numPr>
        <w:spacing w:lineRule="auto" w:line="360" w:before="120" w:after="120"/>
        <w:ind w:left="1134" w:hanging="567"/>
        <w:jc w:val="both"/>
        <w:rPr>
          <w:rFonts w:ascii="Arial" w:hAnsi="Arial" w:cs="Arial"/>
          <w:sz w:val="24"/>
          <w:szCs w:val="24"/>
        </w:rPr>
      </w:pPr>
      <w:r>
        <w:rPr>
          <w:rFonts w:cs="Arial" w:ascii="Arial" w:hAnsi="Arial"/>
          <w:sz w:val="24"/>
          <w:szCs w:val="24"/>
        </w:rPr>
        <w:t xml:space="preserve">Exceto usuários com agenesia coclear ou do nervo coclear e contraindicações clínicas. </w:t>
      </w:r>
    </w:p>
    <w:p>
      <w:pPr>
        <w:pStyle w:val="Corpodetexto"/>
        <w:spacing w:lineRule="auto" w:line="360" w:before="120" w:after="120"/>
        <w:jc w:val="both"/>
        <w:rPr>
          <w:rFonts w:ascii="Arial" w:hAnsi="Arial" w:cs="Arial"/>
          <w:b/>
          <w:b/>
          <w:sz w:val="24"/>
          <w:szCs w:val="24"/>
        </w:rPr>
      </w:pPr>
      <w:r>
        <w:rPr>
          <w:rFonts w:cs="Arial" w:ascii="Arial" w:hAnsi="Arial"/>
          <w:b/>
          <w:sz w:val="24"/>
          <w:szCs w:val="24"/>
        </w:rPr>
      </w:r>
    </w:p>
    <w:p>
      <w:pPr>
        <w:pStyle w:val="Ttulo4"/>
        <w:numPr>
          <w:ilvl w:val="3"/>
          <w:numId w:val="3"/>
        </w:numPr>
        <w:rPr>
          <w:rFonts w:ascii="Arial" w:hAnsi="Arial" w:cs="Arial"/>
          <w:b/>
          <w:b/>
          <w:sz w:val="24"/>
          <w:szCs w:val="24"/>
        </w:rPr>
      </w:pPr>
      <w:bookmarkStart w:id="75" w:name="_Toc434148361"/>
      <w:bookmarkEnd w:id="75"/>
      <w:r>
        <w:rPr>
          <w:rFonts w:cs="Arial" w:ascii="Arial" w:hAnsi="Arial"/>
          <w:b/>
          <w:sz w:val="24"/>
          <w:szCs w:val="24"/>
        </w:rPr>
        <w:t>6.3.3.4 Critérios para indicação de Implante Coclear bilateral</w:t>
      </w:r>
    </w:p>
    <w:p>
      <w:pPr>
        <w:pStyle w:val="Normal"/>
        <w:rPr/>
      </w:pPr>
      <w:r>
        <w:rPr/>
      </w:r>
    </w:p>
    <w:p>
      <w:pPr>
        <w:pStyle w:val="Corpodetexto"/>
        <w:spacing w:lineRule="auto" w:line="360" w:before="120" w:after="120"/>
        <w:ind w:firstLine="720"/>
        <w:jc w:val="both"/>
        <w:rPr>
          <w:rFonts w:ascii="Arial" w:hAnsi="Arial" w:cs="Arial"/>
          <w:sz w:val="24"/>
          <w:szCs w:val="24"/>
        </w:rPr>
      </w:pPr>
      <w:r>
        <w:rPr>
          <w:rFonts w:cs="Arial" w:ascii="Arial" w:hAnsi="Arial"/>
          <w:sz w:val="24"/>
          <w:szCs w:val="24"/>
        </w:rPr>
        <w:t>1. Crianças com até 4 anos incompletos</w:t>
      </w:r>
    </w:p>
    <w:p>
      <w:pPr>
        <w:pStyle w:val="Corpodetexto"/>
        <w:spacing w:lineRule="auto" w:line="360" w:before="120" w:after="120"/>
        <w:jc w:val="both"/>
        <w:rPr>
          <w:rFonts w:ascii="Arial" w:hAnsi="Arial" w:cs="Arial"/>
          <w:sz w:val="24"/>
          <w:szCs w:val="24"/>
        </w:rPr>
      </w:pPr>
      <w:r>
        <w:rPr>
          <w:rFonts w:cs="Arial" w:ascii="Arial" w:hAnsi="Arial"/>
          <w:sz w:val="24"/>
          <w:szCs w:val="24"/>
        </w:rPr>
        <w:tab/>
        <w:t>O implante coclear bilateral em crianças com até 4 anos incompletos, que atendam os critérios constantes no item 1.1 (crianças pré-linguais) e com pelo menos um dos critérios abaixo:</w:t>
      </w:r>
    </w:p>
    <w:p>
      <w:pPr>
        <w:pStyle w:val="Corpodetexto"/>
        <w:numPr>
          <w:ilvl w:val="1"/>
          <w:numId w:val="56"/>
        </w:numPr>
        <w:spacing w:lineRule="auto" w:line="360" w:before="120" w:after="120"/>
        <w:ind w:left="1134" w:hanging="567"/>
        <w:jc w:val="both"/>
        <w:rPr>
          <w:rFonts w:ascii="Arial" w:hAnsi="Arial" w:cs="Arial"/>
          <w:sz w:val="24"/>
          <w:szCs w:val="24"/>
        </w:rPr>
      </w:pPr>
      <w:r>
        <w:rPr>
          <w:rFonts w:cs="Arial" w:ascii="Arial" w:hAnsi="Arial"/>
          <w:sz w:val="24"/>
          <w:szCs w:val="24"/>
        </w:rPr>
        <w:t>Perda auditiva profunda bilateral podendo ser simultâneo ou sequencial</w:t>
      </w:r>
    </w:p>
    <w:p>
      <w:pPr>
        <w:pStyle w:val="Corpodetexto"/>
        <w:numPr>
          <w:ilvl w:val="1"/>
          <w:numId w:val="56"/>
        </w:numPr>
        <w:spacing w:lineRule="auto" w:line="360" w:before="120" w:after="120"/>
        <w:ind w:left="1134" w:hanging="567"/>
        <w:jc w:val="both"/>
        <w:rPr>
          <w:rFonts w:ascii="Arial" w:hAnsi="Arial" w:cs="Arial"/>
          <w:sz w:val="24"/>
          <w:szCs w:val="24"/>
        </w:rPr>
      </w:pPr>
      <w:r>
        <w:rPr>
          <w:rFonts w:cs="Arial" w:ascii="Arial" w:hAnsi="Arial"/>
          <w:sz w:val="24"/>
          <w:szCs w:val="24"/>
        </w:rPr>
        <w:t xml:space="preserve">A etiologia da deficiência auditiva é meningite ou outras etiologias que oferecem riscos para ossificação da cóclea podendo ser simultâneo ou sequencial </w:t>
      </w:r>
    </w:p>
    <w:p>
      <w:pPr>
        <w:pStyle w:val="Corpodetexto"/>
        <w:numPr>
          <w:ilvl w:val="1"/>
          <w:numId w:val="56"/>
        </w:numPr>
        <w:spacing w:lineRule="auto" w:line="360" w:before="120" w:after="120"/>
        <w:ind w:left="1134" w:hanging="567"/>
        <w:jc w:val="both"/>
        <w:rPr>
          <w:rFonts w:ascii="Arial" w:hAnsi="Arial" w:cs="Arial"/>
          <w:sz w:val="24"/>
          <w:szCs w:val="24"/>
        </w:rPr>
      </w:pPr>
      <w:r>
        <w:rPr>
          <w:rFonts w:cs="Arial" w:ascii="Arial" w:hAnsi="Arial"/>
          <w:sz w:val="24"/>
          <w:szCs w:val="24"/>
        </w:rPr>
        <w:t>Apresentem visão subnormal, que dependam da audição binaural podendo ser simultâneo ou sequencial.</w:t>
      </w:r>
    </w:p>
    <w:p>
      <w:pPr>
        <w:pStyle w:val="Corpodetexto"/>
        <w:numPr>
          <w:ilvl w:val="1"/>
          <w:numId w:val="56"/>
        </w:numPr>
        <w:spacing w:lineRule="auto" w:line="360" w:before="120" w:after="120"/>
        <w:ind w:left="1134" w:hanging="567"/>
        <w:jc w:val="both"/>
        <w:rPr>
          <w:rFonts w:ascii="Arial" w:hAnsi="Arial" w:cs="Arial"/>
          <w:sz w:val="24"/>
          <w:szCs w:val="24"/>
        </w:rPr>
      </w:pPr>
      <w:r>
        <w:rPr>
          <w:rFonts w:cs="Arial" w:ascii="Arial" w:hAnsi="Arial"/>
          <w:sz w:val="24"/>
          <w:szCs w:val="24"/>
        </w:rPr>
        <w:t>Nos casos de perda auditiva neurosensorial severa bilateral ou em uma das orelhas, a cirurgia deve ser sequencial;</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2. Crianças com idade entre 4 e 7 anos incompletos</w:t>
      </w:r>
    </w:p>
    <w:p>
      <w:pPr>
        <w:pStyle w:val="Corpodetexto"/>
        <w:spacing w:lineRule="auto" w:line="360" w:before="120" w:after="120"/>
        <w:jc w:val="both"/>
        <w:rPr>
          <w:rFonts w:ascii="Arial" w:hAnsi="Arial" w:cs="Arial"/>
          <w:sz w:val="24"/>
          <w:szCs w:val="24"/>
        </w:rPr>
      </w:pPr>
      <w:r>
        <w:rPr>
          <w:rFonts w:cs="Arial" w:ascii="Arial" w:hAnsi="Arial"/>
          <w:sz w:val="24"/>
          <w:szCs w:val="24"/>
        </w:rPr>
        <w:tab/>
        <w:t xml:space="preserve">Em crianças usuárias de implante coclear unilateral, entre 4 e 7 anos de idade incompletos, está indicado o implante coclear bilateral sequencial desde que o primeiro implante tenha sido realizado antes dos 4 anos de idade completos e que atendam os critérios constantes no item 1.2 e com, pelo menos, um dos critérios abaixo: </w:t>
      </w:r>
    </w:p>
    <w:p>
      <w:pPr>
        <w:pStyle w:val="Corpodetexto"/>
        <w:numPr>
          <w:ilvl w:val="1"/>
          <w:numId w:val="57"/>
        </w:numPr>
        <w:spacing w:lineRule="auto" w:line="360" w:before="120" w:after="120"/>
        <w:ind w:left="1134" w:hanging="567"/>
        <w:jc w:val="both"/>
        <w:rPr>
          <w:rFonts w:ascii="Arial" w:hAnsi="Arial" w:cs="Arial"/>
          <w:sz w:val="24"/>
          <w:szCs w:val="24"/>
        </w:rPr>
      </w:pPr>
      <w:r>
        <w:rPr>
          <w:rFonts w:cs="Arial" w:ascii="Arial" w:hAnsi="Arial"/>
          <w:sz w:val="24"/>
          <w:szCs w:val="24"/>
        </w:rPr>
        <w:t xml:space="preserve">Perda auditiva profunda bilateral; </w:t>
      </w:r>
    </w:p>
    <w:p>
      <w:pPr>
        <w:pStyle w:val="Corpodetexto"/>
        <w:numPr>
          <w:ilvl w:val="1"/>
          <w:numId w:val="57"/>
        </w:numPr>
        <w:spacing w:lineRule="auto" w:line="360" w:before="120" w:after="120"/>
        <w:ind w:left="1134" w:hanging="567"/>
        <w:jc w:val="both"/>
        <w:rPr>
          <w:rFonts w:ascii="Arial" w:hAnsi="Arial" w:cs="Arial"/>
          <w:sz w:val="24"/>
          <w:szCs w:val="24"/>
        </w:rPr>
      </w:pPr>
      <w:r>
        <w:rPr>
          <w:rFonts w:cs="Arial" w:ascii="Arial" w:hAnsi="Arial"/>
          <w:sz w:val="24"/>
          <w:szCs w:val="24"/>
        </w:rPr>
        <w:t xml:space="preserve">A etiologia da deficiência auditiva é meningite ou outras etiologias que oferecem riscos para ossificação da cóclea; </w:t>
      </w:r>
    </w:p>
    <w:p>
      <w:pPr>
        <w:pStyle w:val="Corpodetexto"/>
        <w:numPr>
          <w:ilvl w:val="1"/>
          <w:numId w:val="57"/>
        </w:numPr>
        <w:spacing w:lineRule="auto" w:line="360" w:before="120" w:after="120"/>
        <w:ind w:left="1134" w:hanging="567"/>
        <w:jc w:val="both"/>
        <w:rPr>
          <w:rFonts w:ascii="Arial" w:hAnsi="Arial" w:cs="Arial"/>
          <w:sz w:val="24"/>
          <w:szCs w:val="24"/>
        </w:rPr>
      </w:pPr>
      <w:r>
        <w:rPr>
          <w:rFonts w:cs="Arial" w:ascii="Arial" w:hAnsi="Arial"/>
          <w:sz w:val="24"/>
          <w:szCs w:val="24"/>
        </w:rPr>
        <w:t>Apresentem visão subnormal, que dependam da audição binaural.</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3. Crianças com perda auditiva progressiva e/ou pós-lingual</w:t>
      </w:r>
    </w:p>
    <w:p>
      <w:pPr>
        <w:pStyle w:val="Corpodetexto"/>
        <w:spacing w:lineRule="auto" w:line="360" w:before="120" w:after="120"/>
        <w:jc w:val="both"/>
        <w:rPr>
          <w:rFonts w:ascii="Arial" w:hAnsi="Arial" w:cs="Arial"/>
          <w:sz w:val="24"/>
          <w:szCs w:val="24"/>
        </w:rPr>
      </w:pPr>
      <w:r>
        <w:rPr>
          <w:rFonts w:cs="Arial" w:ascii="Arial" w:hAnsi="Arial"/>
          <w:sz w:val="24"/>
          <w:szCs w:val="24"/>
        </w:rPr>
        <w:tab/>
        <w:t>Nestes casos não há limite de idade, desde que atendam os critérios dos itens abaixo:</w:t>
      </w:r>
    </w:p>
    <w:p>
      <w:pPr>
        <w:pStyle w:val="Corpodetexto"/>
        <w:numPr>
          <w:ilvl w:val="1"/>
          <w:numId w:val="58"/>
        </w:numPr>
        <w:spacing w:lineRule="auto" w:line="360" w:before="120" w:after="120"/>
        <w:ind w:left="1134" w:hanging="567"/>
        <w:jc w:val="both"/>
        <w:rPr>
          <w:rFonts w:ascii="Arial" w:hAnsi="Arial" w:cs="Arial"/>
          <w:sz w:val="24"/>
          <w:szCs w:val="24"/>
        </w:rPr>
      </w:pPr>
      <w:r>
        <w:rPr>
          <w:rFonts w:cs="Arial" w:ascii="Arial" w:hAnsi="Arial"/>
          <w:sz w:val="24"/>
          <w:szCs w:val="24"/>
        </w:rPr>
        <w:t>Resultado igual ou menor que 50% de reconhecimento de sentenças em conjunto aberto com uso de AASI em ambas as orelhas.</w:t>
      </w:r>
    </w:p>
    <w:p>
      <w:pPr>
        <w:pStyle w:val="Corpodetexto"/>
        <w:numPr>
          <w:ilvl w:val="1"/>
          <w:numId w:val="58"/>
        </w:numPr>
        <w:spacing w:lineRule="auto" w:line="360" w:before="120" w:after="120"/>
        <w:ind w:left="1134" w:hanging="567"/>
        <w:jc w:val="both"/>
        <w:rPr>
          <w:rFonts w:ascii="Arial" w:hAnsi="Arial" w:cs="Arial"/>
          <w:sz w:val="24"/>
          <w:szCs w:val="24"/>
        </w:rPr>
      </w:pPr>
      <w:r>
        <w:rPr>
          <w:rFonts w:cs="Arial" w:ascii="Arial" w:hAnsi="Arial"/>
          <w:sz w:val="24"/>
          <w:szCs w:val="24"/>
        </w:rPr>
        <w:t xml:space="preserve">Adequação psicológica e motivação da família para o uso do implante coclear, manutenção/cuidados e para o processo de habilitação e reabilitação fonoaudiológica; </w:t>
      </w:r>
    </w:p>
    <w:p>
      <w:pPr>
        <w:pStyle w:val="Corpodetexto"/>
        <w:numPr>
          <w:ilvl w:val="1"/>
          <w:numId w:val="58"/>
        </w:numPr>
        <w:spacing w:lineRule="auto" w:line="360" w:before="120" w:after="120"/>
        <w:ind w:left="1134" w:hanging="567"/>
        <w:jc w:val="both"/>
        <w:rPr>
          <w:rFonts w:ascii="Arial" w:hAnsi="Arial" w:cs="Arial"/>
          <w:sz w:val="24"/>
          <w:szCs w:val="24"/>
        </w:rPr>
      </w:pPr>
      <w:r>
        <w:rPr>
          <w:rFonts w:cs="Arial" w:ascii="Arial" w:hAnsi="Arial"/>
          <w:sz w:val="24"/>
          <w:szCs w:val="24"/>
        </w:rPr>
        <w:t>Acesso e adesão à terapia fonoaudiológica com condições adequadas de habilitação e reabilitação auditiva na região de origem (referência/contrarreferência).</w:t>
      </w:r>
    </w:p>
    <w:p>
      <w:pPr>
        <w:pStyle w:val="Corpodetexto"/>
        <w:numPr>
          <w:ilvl w:val="1"/>
          <w:numId w:val="58"/>
        </w:numPr>
        <w:spacing w:lineRule="auto" w:line="360" w:before="120" w:after="120"/>
        <w:ind w:left="1134" w:hanging="567"/>
        <w:jc w:val="both"/>
        <w:rPr>
          <w:rFonts w:ascii="Arial" w:hAnsi="Arial" w:cs="Arial"/>
          <w:sz w:val="24"/>
          <w:szCs w:val="24"/>
        </w:rPr>
      </w:pPr>
      <w:r>
        <w:rPr>
          <w:rFonts w:cs="Arial" w:ascii="Arial" w:hAnsi="Arial"/>
          <w:sz w:val="24"/>
          <w:szCs w:val="24"/>
        </w:rPr>
        <w:t>Compromisso em zelar dos componentes externos do implante coclear e realizar o processo de reabilitação fonoaudiológica;</w:t>
      </w:r>
    </w:p>
    <w:p>
      <w:pPr>
        <w:pStyle w:val="Corpodetexto"/>
        <w:numPr>
          <w:ilvl w:val="1"/>
          <w:numId w:val="58"/>
        </w:numPr>
        <w:spacing w:lineRule="auto" w:line="360" w:before="120" w:after="120"/>
        <w:ind w:left="1134" w:hanging="567"/>
        <w:jc w:val="both"/>
        <w:rPr>
          <w:rFonts w:ascii="Arial" w:hAnsi="Arial" w:cs="Arial"/>
          <w:sz w:val="24"/>
          <w:szCs w:val="24"/>
        </w:rPr>
      </w:pPr>
      <w:r>
        <w:rPr>
          <w:rFonts w:cs="Arial" w:ascii="Arial" w:hAnsi="Arial"/>
          <w:sz w:val="24"/>
          <w:szCs w:val="24"/>
        </w:rPr>
        <w:t>Presença de código linguístico oral com, pelo menos, o uso de frases simples espontâneas;</w:t>
      </w:r>
    </w:p>
    <w:p>
      <w:pPr>
        <w:pStyle w:val="Corpodetexto"/>
        <w:numPr>
          <w:ilvl w:val="1"/>
          <w:numId w:val="58"/>
        </w:numPr>
        <w:spacing w:lineRule="auto" w:line="360" w:before="120" w:after="120"/>
        <w:ind w:left="1134" w:hanging="567"/>
        <w:jc w:val="both"/>
        <w:rPr>
          <w:rFonts w:ascii="Arial" w:hAnsi="Arial" w:cs="Arial"/>
          <w:sz w:val="24"/>
          <w:szCs w:val="24"/>
        </w:rPr>
      </w:pPr>
      <w:r>
        <w:rPr>
          <w:rFonts w:cs="Arial" w:ascii="Arial" w:hAnsi="Arial"/>
          <w:sz w:val="24"/>
          <w:szCs w:val="24"/>
        </w:rPr>
        <w:t xml:space="preserve">Uso de AASI contínuo e efetivo desde o diagnóstico; </w:t>
      </w:r>
    </w:p>
    <w:p>
      <w:pPr>
        <w:pStyle w:val="Corpodetexto"/>
        <w:numPr>
          <w:ilvl w:val="1"/>
          <w:numId w:val="58"/>
        </w:numPr>
        <w:spacing w:lineRule="auto" w:line="360" w:before="120" w:after="120"/>
        <w:ind w:left="1134" w:hanging="567"/>
        <w:jc w:val="both"/>
        <w:rPr>
          <w:rFonts w:ascii="Arial" w:hAnsi="Arial" w:cs="Arial"/>
          <w:sz w:val="24"/>
          <w:szCs w:val="24"/>
        </w:rPr>
      </w:pPr>
      <w:r>
        <w:rPr>
          <w:rFonts w:cs="Arial" w:ascii="Arial" w:hAnsi="Arial"/>
          <w:sz w:val="24"/>
          <w:szCs w:val="24"/>
        </w:rPr>
        <w:t>Inserida no ensino regular com desempenho acadêmico compatível a sua faixa etária.</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4. Adolescentes e adultos com perda auditiva pós-lingual</w:t>
      </w:r>
    </w:p>
    <w:p>
      <w:pPr>
        <w:pStyle w:val="Corpodetexto"/>
        <w:spacing w:lineRule="auto" w:line="360" w:before="120" w:after="120"/>
        <w:jc w:val="both"/>
        <w:rPr>
          <w:rFonts w:ascii="Arial" w:hAnsi="Arial" w:cs="Arial"/>
          <w:sz w:val="24"/>
          <w:szCs w:val="24"/>
        </w:rPr>
      </w:pPr>
      <w:r>
        <w:rPr>
          <w:rFonts w:cs="Arial" w:ascii="Arial" w:hAnsi="Arial"/>
          <w:sz w:val="24"/>
          <w:szCs w:val="24"/>
        </w:rPr>
        <w:tab/>
        <w:t xml:space="preserve">Nestes casos o implante coclear bilateral deverá ser realizado sequencialmente, com intervalo mínimo de 1 ano de uso efetivo do implante, desde que atendam todos os critérios abaixo: </w:t>
      </w:r>
    </w:p>
    <w:p>
      <w:pPr>
        <w:pStyle w:val="Corpodetexto"/>
        <w:numPr>
          <w:ilvl w:val="1"/>
          <w:numId w:val="59"/>
        </w:numPr>
        <w:spacing w:lineRule="auto" w:line="360" w:before="120" w:after="120"/>
        <w:ind w:left="1134" w:hanging="567"/>
        <w:jc w:val="both"/>
        <w:rPr>
          <w:rFonts w:ascii="Arial" w:hAnsi="Arial" w:cs="Arial"/>
          <w:sz w:val="24"/>
          <w:szCs w:val="24"/>
        </w:rPr>
      </w:pPr>
      <w:r>
        <w:rPr>
          <w:rFonts w:cs="Arial" w:ascii="Arial" w:hAnsi="Arial"/>
          <w:sz w:val="24"/>
          <w:szCs w:val="24"/>
        </w:rPr>
        <w:t xml:space="preserve">Sem benefício de audição bimodal (entende-se como benefício de audição bimodal a melhora do índice de reconhecimento de fala no ruído, em conjunto aberto, para os monossílabos, maior ou igual a 12%); </w:t>
      </w:r>
    </w:p>
    <w:p>
      <w:pPr>
        <w:pStyle w:val="Corpodetexto"/>
        <w:numPr>
          <w:ilvl w:val="1"/>
          <w:numId w:val="59"/>
        </w:numPr>
        <w:spacing w:lineRule="auto" w:line="360" w:before="120" w:after="120"/>
        <w:ind w:left="1134" w:hanging="567"/>
        <w:jc w:val="both"/>
        <w:rPr>
          <w:rFonts w:ascii="Arial" w:hAnsi="Arial" w:cs="Arial"/>
          <w:sz w:val="24"/>
          <w:szCs w:val="24"/>
        </w:rPr>
      </w:pPr>
      <w:r>
        <w:rPr>
          <w:rFonts w:cs="Arial" w:ascii="Arial" w:hAnsi="Arial"/>
          <w:sz w:val="24"/>
          <w:szCs w:val="24"/>
        </w:rPr>
        <w:t xml:space="preserve">Resultado igual ou menor que 50% de reconhecimento de sentenças em conjunto aberto com uso de em ambas as orelhas. </w:t>
      </w:r>
    </w:p>
    <w:p>
      <w:pPr>
        <w:pStyle w:val="Corpodetexto"/>
        <w:numPr>
          <w:ilvl w:val="1"/>
          <w:numId w:val="59"/>
        </w:numPr>
        <w:spacing w:lineRule="auto" w:line="360" w:before="120" w:after="120"/>
        <w:ind w:left="1134" w:hanging="567"/>
        <w:jc w:val="both"/>
        <w:rPr>
          <w:rFonts w:ascii="Arial" w:hAnsi="Arial" w:cs="Arial"/>
          <w:sz w:val="24"/>
          <w:szCs w:val="24"/>
        </w:rPr>
      </w:pPr>
      <w:r>
        <w:rPr>
          <w:rFonts w:cs="Arial" w:ascii="Arial" w:hAnsi="Arial"/>
          <w:sz w:val="24"/>
          <w:szCs w:val="24"/>
        </w:rPr>
        <w:t>Adequação psicológica e motivação do usuário para o uso do implante coclear, manutenção/cuidados e para o processo de reabilitação fonoaudiológica;</w:t>
      </w:r>
    </w:p>
    <w:p>
      <w:pPr>
        <w:pStyle w:val="Corpodetexto"/>
        <w:numPr>
          <w:ilvl w:val="1"/>
          <w:numId w:val="59"/>
        </w:numPr>
        <w:spacing w:lineRule="auto" w:line="360" w:before="120" w:after="120"/>
        <w:ind w:left="1134" w:hanging="567"/>
        <w:jc w:val="both"/>
        <w:rPr>
          <w:rFonts w:ascii="Arial" w:hAnsi="Arial" w:cs="Arial"/>
          <w:sz w:val="24"/>
          <w:szCs w:val="24"/>
        </w:rPr>
      </w:pPr>
      <w:r>
        <w:rPr>
          <w:rFonts w:cs="Arial" w:ascii="Arial" w:hAnsi="Arial"/>
          <w:sz w:val="24"/>
          <w:szCs w:val="24"/>
        </w:rPr>
        <w:t>Condições adequadas de reabilitação na cidade de origem (referência/contra-referência);</w:t>
      </w:r>
    </w:p>
    <w:p>
      <w:pPr>
        <w:pStyle w:val="Corpodetexto"/>
        <w:numPr>
          <w:ilvl w:val="1"/>
          <w:numId w:val="59"/>
        </w:numPr>
        <w:spacing w:lineRule="auto" w:line="360" w:before="120" w:after="120"/>
        <w:ind w:left="1134" w:hanging="567"/>
        <w:jc w:val="both"/>
        <w:rPr>
          <w:rFonts w:ascii="Arial" w:hAnsi="Arial" w:cs="Arial"/>
          <w:sz w:val="24"/>
          <w:szCs w:val="24"/>
        </w:rPr>
      </w:pPr>
      <w:r>
        <w:rPr>
          <w:rFonts w:cs="Arial" w:ascii="Arial" w:hAnsi="Arial"/>
          <w:sz w:val="24"/>
          <w:szCs w:val="24"/>
        </w:rPr>
        <w:t xml:space="preserve">Compromisso em zelar os componentes externos do implante coclear e realizar o processo de reabilitação fonoaudiológica. </w:t>
      </w:r>
    </w:p>
    <w:p>
      <w:pPr>
        <w:pStyle w:val="Corpodetexto"/>
        <w:spacing w:lineRule="auto" w:line="360" w:before="120" w:after="120"/>
        <w:jc w:val="both"/>
        <w:rPr>
          <w:rFonts w:ascii="Arial" w:hAnsi="Arial" w:cs="Arial"/>
          <w:sz w:val="24"/>
          <w:szCs w:val="24"/>
        </w:rPr>
      </w:pPr>
      <w:r>
        <w:rPr>
          <w:rFonts w:cs="Arial" w:ascii="Arial" w:hAnsi="Arial"/>
          <w:sz w:val="24"/>
          <w:szCs w:val="24"/>
        </w:rPr>
        <w:t>EXCEÇÃO: Nos casos de meningite ou patologias com risco de ossificação coclear, o implante coclear bilateral poderá ser feito simultaneamente.</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Corpodetexto"/>
        <w:spacing w:lineRule="auto" w:line="360" w:before="120" w:after="120"/>
        <w:jc w:val="both"/>
        <w:rPr>
          <w:rFonts w:ascii="Arial" w:hAnsi="Arial" w:cs="Arial"/>
          <w:sz w:val="24"/>
          <w:szCs w:val="24"/>
        </w:rPr>
      </w:pPr>
      <w:r>
        <w:rPr>
          <w:rFonts w:cs="Arial" w:ascii="Arial" w:hAnsi="Arial"/>
          <w:sz w:val="24"/>
          <w:szCs w:val="24"/>
        </w:rPr>
        <w:t>Critérios de Reimplante</w:t>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 xml:space="preserve">A indicação de reimplante deverá ocorrer nos seguintes casos: </w:t>
      </w:r>
    </w:p>
    <w:p>
      <w:pPr>
        <w:pStyle w:val="Corpodetexto"/>
        <w:numPr>
          <w:ilvl w:val="0"/>
          <w:numId w:val="60"/>
        </w:numPr>
        <w:spacing w:lineRule="auto" w:line="360" w:before="120" w:after="120"/>
        <w:ind w:left="1134" w:hanging="567"/>
        <w:jc w:val="both"/>
        <w:rPr>
          <w:rFonts w:ascii="Arial" w:hAnsi="Arial" w:cs="Arial"/>
          <w:sz w:val="24"/>
          <w:szCs w:val="24"/>
        </w:rPr>
      </w:pPr>
      <w:r>
        <w:rPr>
          <w:rFonts w:cs="Arial" w:ascii="Arial" w:hAnsi="Arial"/>
          <w:sz w:val="24"/>
          <w:szCs w:val="24"/>
        </w:rPr>
        <w:t xml:space="preserve">Falha do dispositivo interno; </w:t>
      </w:r>
    </w:p>
    <w:p>
      <w:pPr>
        <w:pStyle w:val="Corpodetexto"/>
        <w:numPr>
          <w:ilvl w:val="0"/>
          <w:numId w:val="60"/>
        </w:numPr>
        <w:spacing w:lineRule="auto" w:line="360" w:before="120" w:after="120"/>
        <w:ind w:left="1134" w:hanging="567"/>
        <w:jc w:val="both"/>
        <w:rPr>
          <w:rFonts w:ascii="Arial" w:hAnsi="Arial" w:cs="Arial"/>
          <w:sz w:val="24"/>
          <w:szCs w:val="24"/>
        </w:rPr>
      </w:pPr>
      <w:r>
        <w:rPr>
          <w:rFonts w:cs="Arial" w:ascii="Arial" w:hAnsi="Arial"/>
          <w:sz w:val="24"/>
          <w:szCs w:val="24"/>
        </w:rPr>
        <w:t>Complicações que necessitem de explantação;</w:t>
      </w:r>
    </w:p>
    <w:p>
      <w:pPr>
        <w:pStyle w:val="Corpodetexto"/>
        <w:numPr>
          <w:ilvl w:val="0"/>
          <w:numId w:val="60"/>
        </w:numPr>
        <w:spacing w:lineRule="auto" w:line="360" w:before="120" w:after="120"/>
        <w:ind w:left="1134" w:hanging="567"/>
        <w:jc w:val="both"/>
        <w:rPr>
          <w:rFonts w:ascii="Arial" w:hAnsi="Arial" w:cs="Arial"/>
          <w:sz w:val="24"/>
          <w:szCs w:val="24"/>
        </w:rPr>
      </w:pPr>
      <w:r>
        <w:rPr>
          <w:rFonts w:cs="Arial" w:ascii="Arial" w:hAnsi="Arial"/>
          <w:sz w:val="24"/>
          <w:szCs w:val="24"/>
        </w:rPr>
        <w:t>Declínio do desempenho auditivo, por falha do dispositivo (unidade) interno fora da cobertura de garantia assegurada pelo fabricante. Considera-se criança a pessoa com idade até 12 anos incompletos de acordo com o Estatuto da Criança e Adolescente (Lei 8069 de 13 de julho de 1990).</w:t>
      </w:r>
    </w:p>
    <w:p>
      <w:pPr>
        <w:pStyle w:val="Corpodetexto"/>
        <w:spacing w:lineRule="auto" w:line="360" w:before="120" w:after="120"/>
        <w:jc w:val="both"/>
        <w:rPr/>
      </w:pPr>
      <w:r>
        <w:rPr/>
      </w:r>
    </w:p>
    <w:p>
      <w:pPr>
        <w:pStyle w:val="Ttulo3"/>
        <w:numPr>
          <w:ilvl w:val="2"/>
          <w:numId w:val="3"/>
        </w:numPr>
        <w:rPr>
          <w:rStyle w:val="Forte1"/>
        </w:rPr>
      </w:pPr>
      <w:bookmarkStart w:id="76" w:name="_Toc434344440"/>
      <w:bookmarkStart w:id="77" w:name="_Toc434148362"/>
      <w:bookmarkEnd w:id="76"/>
      <w:bookmarkEnd w:id="77"/>
      <w:r>
        <w:rPr>
          <w:rStyle w:val="Forte1"/>
        </w:rPr>
        <w:t>6.3.4 Critérios de indicação e contraindicação da prótese auditiva ancorada no osso</w:t>
      </w:r>
    </w:p>
    <w:p>
      <w:pPr>
        <w:pStyle w:val="Corpodetexto"/>
        <w:rPr/>
      </w:pPr>
      <w:r>
        <w:rPr/>
      </w:r>
    </w:p>
    <w:p>
      <w:pPr>
        <w:pStyle w:val="Ttulo31"/>
        <w:spacing w:lineRule="auto" w:line="360" w:before="120" w:after="120"/>
        <w:ind w:firstLine="720"/>
        <w:jc w:val="both"/>
        <w:rPr>
          <w:rFonts w:ascii="Arial" w:hAnsi="Arial" w:cs="Arial"/>
          <w:sz w:val="24"/>
          <w:szCs w:val="24"/>
        </w:rPr>
      </w:pPr>
      <w:r>
        <w:rPr>
          <w:rFonts w:cs="Arial" w:ascii="Arial" w:hAnsi="Arial"/>
          <w:sz w:val="24"/>
          <w:szCs w:val="24"/>
        </w:rPr>
        <w:t>1. Critérios de indicação da prótese auditiva ancorada no osso unilateral</w:t>
      </w:r>
    </w:p>
    <w:p>
      <w:pPr>
        <w:pStyle w:val="Corpodetexto"/>
        <w:spacing w:lineRule="auto" w:line="360" w:before="120" w:after="120"/>
        <w:jc w:val="both"/>
        <w:rPr>
          <w:rFonts w:ascii="Arial" w:hAnsi="Arial" w:cs="Arial"/>
          <w:sz w:val="24"/>
          <w:szCs w:val="24"/>
        </w:rPr>
      </w:pPr>
      <w:r>
        <w:rPr>
          <w:rFonts w:cs="Arial" w:ascii="Arial" w:hAnsi="Arial"/>
          <w:sz w:val="24"/>
          <w:szCs w:val="24"/>
        </w:rPr>
        <w:tab/>
        <w:t>A prótese auditiva ancorada no osso é indicada nos casos de perda auditiva condutiva ou mista bilateral quando preenchidos todos os seguintes critérios:</w:t>
      </w:r>
    </w:p>
    <w:p>
      <w:pPr>
        <w:pStyle w:val="Corpodetexto"/>
        <w:numPr>
          <w:ilvl w:val="1"/>
          <w:numId w:val="61"/>
        </w:numPr>
        <w:spacing w:lineRule="auto" w:line="360" w:before="120" w:after="120"/>
        <w:ind w:left="1134" w:hanging="567"/>
        <w:jc w:val="both"/>
        <w:rPr>
          <w:rFonts w:ascii="Arial" w:hAnsi="Arial" w:cs="Arial"/>
          <w:sz w:val="24"/>
          <w:szCs w:val="24"/>
        </w:rPr>
      </w:pPr>
      <w:r>
        <w:rPr>
          <w:rFonts w:cs="Arial" w:ascii="Arial" w:hAnsi="Arial"/>
          <w:sz w:val="24"/>
          <w:szCs w:val="24"/>
        </w:rPr>
        <w:t>Má formação congênita de orelha bilateral que impossibilite adaptação de AASI.</w:t>
      </w:r>
    </w:p>
    <w:p>
      <w:pPr>
        <w:pStyle w:val="Corpodetexto"/>
        <w:numPr>
          <w:ilvl w:val="1"/>
          <w:numId w:val="61"/>
        </w:numPr>
        <w:spacing w:lineRule="auto" w:line="360" w:before="120" w:after="120"/>
        <w:ind w:left="1134" w:hanging="567"/>
        <w:jc w:val="both"/>
        <w:rPr>
          <w:rFonts w:ascii="Arial" w:hAnsi="Arial" w:cs="Arial"/>
          <w:sz w:val="24"/>
          <w:szCs w:val="24"/>
        </w:rPr>
      </w:pPr>
      <w:r>
        <w:rPr>
          <w:rFonts w:cs="Arial" w:ascii="Arial" w:hAnsi="Arial"/>
          <w:sz w:val="24"/>
          <w:szCs w:val="24"/>
        </w:rPr>
        <w:t xml:space="preserve">Com gap maior que 30 dB na média das frequências de 0,5, 1, 2 e 3kHz </w:t>
      </w:r>
    </w:p>
    <w:p>
      <w:pPr>
        <w:pStyle w:val="Corpodetexto"/>
        <w:numPr>
          <w:ilvl w:val="1"/>
          <w:numId w:val="61"/>
        </w:numPr>
        <w:spacing w:lineRule="auto" w:line="360" w:before="120" w:after="120"/>
        <w:ind w:left="1134" w:hanging="567"/>
        <w:jc w:val="both"/>
        <w:rPr>
          <w:rFonts w:ascii="Arial" w:hAnsi="Arial" w:cs="Arial"/>
          <w:sz w:val="24"/>
          <w:szCs w:val="24"/>
        </w:rPr>
      </w:pPr>
      <w:r>
        <w:rPr>
          <w:rFonts w:cs="Arial" w:ascii="Arial" w:hAnsi="Arial"/>
          <w:sz w:val="24"/>
          <w:szCs w:val="24"/>
        </w:rPr>
        <w:t>Limiar médio melhor que 60 dB para via óssea nas frequências de 0,5, 1, 2 e 3kHz na orelha a ser implantada.</w:t>
      </w:r>
    </w:p>
    <w:p>
      <w:pPr>
        <w:pStyle w:val="Corpodetexto"/>
        <w:numPr>
          <w:ilvl w:val="1"/>
          <w:numId w:val="61"/>
        </w:numPr>
        <w:spacing w:lineRule="auto" w:line="360" w:before="120" w:after="120"/>
        <w:ind w:left="1134" w:hanging="567"/>
        <w:jc w:val="both"/>
        <w:rPr>
          <w:rFonts w:ascii="Arial" w:hAnsi="Arial" w:cs="Arial"/>
          <w:sz w:val="24"/>
          <w:szCs w:val="24"/>
        </w:rPr>
      </w:pPr>
      <w:r>
        <w:rPr>
          <w:rFonts w:cs="Arial" w:ascii="Arial" w:hAnsi="Arial"/>
          <w:sz w:val="24"/>
          <w:szCs w:val="24"/>
        </w:rPr>
        <w:t>Índice de reconhecimento de fala em conjunto aberto maior que 60 % em monossílabos sem AASI.</w:t>
      </w:r>
    </w:p>
    <w:p>
      <w:pPr>
        <w:pStyle w:val="Corpodetexto"/>
        <w:spacing w:lineRule="auto" w:line="360" w:before="120" w:after="120"/>
        <w:jc w:val="both"/>
        <w:rPr>
          <w:rFonts w:ascii="Arial" w:hAnsi="Arial" w:cs="Arial"/>
          <w:sz w:val="24"/>
          <w:szCs w:val="24"/>
        </w:rPr>
      </w:pPr>
      <w:r>
        <w:rPr>
          <w:rFonts w:cs="Arial" w:ascii="Arial" w:hAnsi="Arial"/>
          <w:sz w:val="24"/>
          <w:szCs w:val="24"/>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2. Critérios para indicação de prótese auditiva ancorada no osso bilateral</w:t>
      </w:r>
    </w:p>
    <w:p>
      <w:pPr>
        <w:pStyle w:val="Corpodetexto"/>
        <w:numPr>
          <w:ilvl w:val="1"/>
          <w:numId w:val="62"/>
        </w:numPr>
        <w:spacing w:lineRule="auto" w:line="360" w:before="120" w:after="120"/>
        <w:ind w:left="1134" w:hanging="567"/>
        <w:jc w:val="both"/>
        <w:rPr>
          <w:rFonts w:ascii="Arial" w:hAnsi="Arial" w:cs="Arial"/>
          <w:sz w:val="24"/>
          <w:szCs w:val="24"/>
        </w:rPr>
      </w:pPr>
      <w:r>
        <w:rPr>
          <w:rFonts w:cs="Arial" w:ascii="Arial" w:hAnsi="Arial"/>
          <w:sz w:val="24"/>
          <w:szCs w:val="24"/>
        </w:rPr>
        <w:t xml:space="preserve">Má formação congênita de orelha bilateral que impossibilite adaptação de AASI. </w:t>
      </w:r>
    </w:p>
    <w:p>
      <w:pPr>
        <w:pStyle w:val="Corpodetexto"/>
        <w:numPr>
          <w:ilvl w:val="1"/>
          <w:numId w:val="62"/>
        </w:numPr>
        <w:spacing w:lineRule="auto" w:line="360" w:before="120" w:after="120"/>
        <w:ind w:left="1134" w:hanging="567"/>
        <w:jc w:val="both"/>
        <w:rPr>
          <w:rFonts w:ascii="Arial" w:hAnsi="Arial" w:cs="Arial"/>
          <w:sz w:val="24"/>
          <w:szCs w:val="24"/>
        </w:rPr>
      </w:pPr>
      <w:r>
        <w:rPr>
          <w:rFonts w:cs="Arial" w:ascii="Arial" w:hAnsi="Arial"/>
          <w:sz w:val="24"/>
          <w:szCs w:val="24"/>
        </w:rPr>
        <w:t xml:space="preserve">Com gap maior que 30 dB na média das frequências de 0,5, 1, 2 e 3kHz. </w:t>
      </w:r>
    </w:p>
    <w:p>
      <w:pPr>
        <w:pStyle w:val="Corpodetexto"/>
        <w:numPr>
          <w:ilvl w:val="1"/>
          <w:numId w:val="62"/>
        </w:numPr>
        <w:spacing w:lineRule="auto" w:line="360" w:before="120" w:after="120"/>
        <w:ind w:left="1134" w:hanging="567"/>
        <w:jc w:val="both"/>
        <w:rPr>
          <w:rFonts w:ascii="Arial" w:hAnsi="Arial" w:cs="Arial"/>
          <w:sz w:val="24"/>
          <w:szCs w:val="24"/>
        </w:rPr>
      </w:pPr>
      <w:r>
        <w:rPr>
          <w:rFonts w:cs="Arial" w:ascii="Arial" w:hAnsi="Arial"/>
          <w:sz w:val="24"/>
          <w:szCs w:val="24"/>
        </w:rPr>
        <w:t>Limiar médio melhor que 60 dB para via óssea nas frequências de 0,5, 1, 2 e 3kHz em ambas orelhas.</w:t>
      </w:r>
    </w:p>
    <w:p>
      <w:pPr>
        <w:pStyle w:val="Corpodetexto"/>
        <w:numPr>
          <w:ilvl w:val="1"/>
          <w:numId w:val="62"/>
        </w:numPr>
        <w:spacing w:lineRule="auto" w:line="360" w:before="120" w:after="120"/>
        <w:ind w:left="1134" w:hanging="567"/>
        <w:jc w:val="both"/>
        <w:rPr>
          <w:rFonts w:ascii="Arial" w:hAnsi="Arial" w:cs="Arial"/>
          <w:sz w:val="24"/>
          <w:szCs w:val="24"/>
        </w:rPr>
      </w:pPr>
      <w:r>
        <w:rPr>
          <w:rFonts w:cs="Arial" w:ascii="Arial" w:hAnsi="Arial"/>
          <w:sz w:val="24"/>
          <w:szCs w:val="24"/>
        </w:rPr>
        <w:t>Índice de reconhecimento de fala em conjunto aberto maior que 60 % em monossílabos sem AASI.</w:t>
      </w:r>
    </w:p>
    <w:p>
      <w:pPr>
        <w:pStyle w:val="Corpodetexto"/>
        <w:numPr>
          <w:ilvl w:val="1"/>
          <w:numId w:val="62"/>
        </w:numPr>
        <w:spacing w:lineRule="auto" w:line="360" w:before="120" w:after="120"/>
        <w:ind w:left="1134" w:hanging="567"/>
        <w:jc w:val="both"/>
        <w:rPr>
          <w:rFonts w:ascii="Arial" w:hAnsi="Arial" w:cs="Arial"/>
          <w:sz w:val="24"/>
          <w:szCs w:val="24"/>
        </w:rPr>
      </w:pPr>
      <w:r>
        <w:rPr>
          <w:rFonts w:cs="Arial" w:ascii="Arial" w:hAnsi="Arial"/>
          <w:sz w:val="24"/>
          <w:szCs w:val="24"/>
        </w:rPr>
        <w:t>A diferença interaural entre as médias dos limiares por via óssea de 0,5, 1, 2 e 3kHz não deve exceder a 10 dB e ser menor que 15 dB em todas as frequências.</w:t>
      </w:r>
    </w:p>
    <w:p>
      <w:pPr>
        <w:pStyle w:val="Corpodetexto"/>
        <w:spacing w:lineRule="auto" w:line="360" w:before="120" w:after="120"/>
        <w:jc w:val="both"/>
        <w:rPr>
          <w:rFonts w:ascii="Arial" w:hAnsi="Arial" w:cs="Arial"/>
          <w:sz w:val="24"/>
          <w:szCs w:val="24"/>
        </w:rPr>
      </w:pPr>
      <w:r>
        <w:rPr>
          <w:rFonts w:cs="Arial" w:ascii="Arial" w:hAnsi="Arial"/>
          <w:sz w:val="24"/>
          <w:szCs w:val="24"/>
        </w:rPr>
        <w:t>Observações:</w:t>
      </w:r>
    </w:p>
    <w:p>
      <w:pPr>
        <w:pStyle w:val="Corpodetexto"/>
        <w:numPr>
          <w:ilvl w:val="0"/>
          <w:numId w:val="63"/>
        </w:numPr>
        <w:spacing w:lineRule="auto" w:line="360" w:before="120" w:after="120"/>
        <w:jc w:val="both"/>
        <w:rPr>
          <w:rFonts w:ascii="Arial" w:hAnsi="Arial" w:cs="Arial"/>
          <w:sz w:val="24"/>
          <w:szCs w:val="24"/>
        </w:rPr>
      </w:pPr>
      <w:r>
        <w:rPr>
          <w:rFonts w:cs="Arial" w:ascii="Arial" w:hAnsi="Arial"/>
          <w:sz w:val="24"/>
          <w:szCs w:val="24"/>
        </w:rPr>
        <w:t>Em crianças abaixo de 5 anos enquanto não é possível realizar a cirurgia para colocação da prótese auditiva ancorada no osso, está indicada a adaptação do áudio processador posicionado por meio de banda elástica.</w:t>
      </w:r>
    </w:p>
    <w:p>
      <w:pPr>
        <w:pStyle w:val="Corpodetexto"/>
        <w:numPr>
          <w:ilvl w:val="0"/>
          <w:numId w:val="63"/>
        </w:numPr>
        <w:spacing w:lineRule="auto" w:line="360" w:before="120" w:after="120"/>
        <w:jc w:val="both"/>
        <w:rPr>
          <w:rFonts w:ascii="Arial" w:hAnsi="Arial" w:cs="Arial"/>
          <w:sz w:val="24"/>
          <w:szCs w:val="24"/>
        </w:rPr>
      </w:pPr>
      <w:r>
        <w:rPr>
          <w:rFonts w:cs="Arial" w:ascii="Arial" w:hAnsi="Arial"/>
          <w:sz w:val="24"/>
          <w:szCs w:val="24"/>
        </w:rPr>
        <w:t>Nos casos onde a estrutura óssea da calota craniana não possibilite a osteointegração em tempo hábil, a cirurgia deverá ser realizada em 2 (dois) tempos.</w:t>
      </w:r>
    </w:p>
    <w:p>
      <w:pPr>
        <w:pStyle w:val="Corpodetexto"/>
        <w:numPr>
          <w:ilvl w:val="0"/>
          <w:numId w:val="63"/>
        </w:numPr>
        <w:spacing w:lineRule="auto" w:line="360" w:before="120" w:after="120"/>
        <w:jc w:val="both"/>
        <w:rPr>
          <w:rFonts w:ascii="Arial" w:hAnsi="Arial" w:cs="Arial"/>
          <w:sz w:val="24"/>
          <w:szCs w:val="24"/>
        </w:rPr>
      </w:pPr>
      <w:r>
        <w:rPr>
          <w:rFonts w:cs="Arial" w:ascii="Arial" w:hAnsi="Arial"/>
          <w:sz w:val="24"/>
          <w:szCs w:val="24"/>
        </w:rPr>
        <w:t>Critérios de reimplante</w:t>
      </w:r>
    </w:p>
    <w:p>
      <w:pPr>
        <w:pStyle w:val="Corpodetexto"/>
        <w:spacing w:lineRule="auto" w:line="360" w:before="120" w:after="120"/>
        <w:jc w:val="both"/>
        <w:rPr>
          <w:rFonts w:ascii="Arial" w:hAnsi="Arial" w:cs="Arial"/>
          <w:sz w:val="24"/>
          <w:szCs w:val="24"/>
        </w:rPr>
      </w:pPr>
      <w:r>
        <w:rPr>
          <w:rFonts w:cs="Arial" w:ascii="Arial" w:hAnsi="Arial"/>
          <w:sz w:val="24"/>
          <w:szCs w:val="24"/>
        </w:rPr>
        <w:tab/>
        <w:t>A indicação de reimplante deverá ocorrer nos seguintes casos:</w:t>
      </w:r>
    </w:p>
    <w:p>
      <w:pPr>
        <w:pStyle w:val="Corpodetexto"/>
        <w:numPr>
          <w:ilvl w:val="0"/>
          <w:numId w:val="64"/>
        </w:numPr>
        <w:spacing w:lineRule="auto" w:line="360" w:before="120" w:after="120"/>
        <w:ind w:left="1134" w:hanging="567"/>
        <w:jc w:val="both"/>
        <w:rPr>
          <w:rFonts w:ascii="Arial" w:hAnsi="Arial" w:cs="Arial"/>
          <w:sz w:val="24"/>
          <w:szCs w:val="24"/>
        </w:rPr>
      </w:pPr>
      <w:r>
        <w:rPr>
          <w:rFonts w:cs="Arial" w:ascii="Arial" w:hAnsi="Arial"/>
          <w:sz w:val="24"/>
          <w:szCs w:val="24"/>
        </w:rPr>
        <w:t xml:space="preserve">Perda da osteointegração do implante de titânio </w:t>
      </w:r>
    </w:p>
    <w:p>
      <w:pPr>
        <w:pStyle w:val="Corpodetexto"/>
        <w:numPr>
          <w:ilvl w:val="0"/>
          <w:numId w:val="64"/>
        </w:numPr>
        <w:spacing w:lineRule="auto" w:line="360" w:before="120" w:after="120"/>
        <w:ind w:left="1134" w:hanging="567"/>
        <w:jc w:val="both"/>
        <w:rPr>
          <w:rFonts w:ascii="Arial" w:hAnsi="Arial" w:cs="Arial"/>
          <w:sz w:val="24"/>
          <w:szCs w:val="24"/>
        </w:rPr>
      </w:pPr>
      <w:r>
        <w:rPr>
          <w:rFonts w:cs="Arial" w:ascii="Arial" w:hAnsi="Arial"/>
          <w:sz w:val="24"/>
          <w:szCs w:val="24"/>
        </w:rPr>
        <w:t>Complicações que impeçam o acoplamento do audioprocessador ao pilar</w:t>
      </w:r>
    </w:p>
    <w:p>
      <w:pPr>
        <w:pStyle w:val="Corpodetexto"/>
        <w:numPr>
          <w:ilvl w:val="0"/>
          <w:numId w:val="64"/>
        </w:numPr>
        <w:spacing w:lineRule="auto" w:line="360" w:before="120" w:after="120"/>
        <w:ind w:left="1134" w:hanging="567"/>
        <w:jc w:val="both"/>
        <w:rPr>
          <w:rFonts w:ascii="Arial" w:hAnsi="Arial" w:cs="Arial"/>
          <w:sz w:val="24"/>
          <w:szCs w:val="24"/>
        </w:rPr>
      </w:pPr>
      <w:r>
        <w:rPr>
          <w:rFonts w:cs="Arial" w:ascii="Arial" w:hAnsi="Arial"/>
          <w:sz w:val="24"/>
          <w:szCs w:val="24"/>
        </w:rPr>
        <w:t>Complicações que levem a necessidade de explantação.</w:t>
      </w:r>
    </w:p>
    <w:p>
      <w:pPr>
        <w:pStyle w:val="Corpodetexto"/>
        <w:spacing w:lineRule="auto" w:line="360" w:before="120" w:after="120"/>
        <w:jc w:val="both"/>
        <w:rPr/>
      </w:pPr>
      <w:r>
        <w:rPr/>
      </w:r>
    </w:p>
    <w:p>
      <w:pPr>
        <w:pStyle w:val="Ttulo3"/>
        <w:numPr>
          <w:ilvl w:val="2"/>
          <w:numId w:val="3"/>
        </w:numPr>
        <w:rPr>
          <w:rStyle w:val="Forte1"/>
        </w:rPr>
      </w:pPr>
      <w:bookmarkStart w:id="78" w:name="_Toc434344441"/>
      <w:bookmarkStart w:id="79" w:name="_Toc434148363"/>
      <w:bookmarkEnd w:id="78"/>
      <w:bookmarkEnd w:id="79"/>
      <w:r>
        <w:rPr>
          <w:rStyle w:val="Forte1"/>
        </w:rPr>
        <w:t>6.3.5 Critérios para agendamento das cirurgias de Implante Coclear</w:t>
      </w:r>
    </w:p>
    <w:p>
      <w:pPr>
        <w:pStyle w:val="Corpodetexto"/>
        <w:rPr/>
      </w:pPr>
      <w:r>
        <w:rPr/>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A entrada na lista de espera para a cirurgia de implante coclear se dará por ordem cronológica, respeitando-se as cotas de cada Regional de Saúde.</w:t>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 xml:space="preserve">O agendamento da </w:t>
      </w:r>
      <w:r>
        <w:rPr>
          <w:rFonts w:cs="Arial" w:ascii="Arial" w:hAnsi="Arial"/>
          <w:b/>
          <w:bCs/>
          <w:sz w:val="24"/>
          <w:szCs w:val="24"/>
          <w:u w:val="single"/>
        </w:rPr>
        <w:t>primeira cirurgia do mês,</w:t>
      </w:r>
      <w:r>
        <w:rPr>
          <w:rFonts w:cs="Arial" w:ascii="Arial" w:hAnsi="Arial"/>
          <w:sz w:val="24"/>
          <w:szCs w:val="24"/>
        </w:rPr>
        <w:t xml:space="preserve"> segue os seguintes critérios de prioridade:</w:t>
      </w:r>
    </w:p>
    <w:p>
      <w:pPr>
        <w:pStyle w:val="Corpodetexto"/>
        <w:numPr>
          <w:ilvl w:val="1"/>
          <w:numId w:val="65"/>
        </w:numPr>
        <w:spacing w:lineRule="auto" w:line="360" w:before="120" w:after="120"/>
        <w:ind w:left="1134" w:hanging="567"/>
        <w:jc w:val="both"/>
        <w:rPr>
          <w:rFonts w:ascii="Arial" w:hAnsi="Arial" w:cs="Arial"/>
          <w:sz w:val="24"/>
          <w:szCs w:val="24"/>
        </w:rPr>
      </w:pPr>
      <w:r>
        <w:rPr>
          <w:rFonts w:cs="Arial" w:ascii="Arial" w:hAnsi="Arial"/>
          <w:sz w:val="24"/>
          <w:szCs w:val="24"/>
        </w:rPr>
        <w:t>Primeira prioridade será para usuários com etiologia da deficiência auditiva por meningite e fratura de cóclea.</w:t>
      </w:r>
    </w:p>
    <w:p>
      <w:pPr>
        <w:pStyle w:val="Corpodetexto"/>
        <w:numPr>
          <w:ilvl w:val="1"/>
          <w:numId w:val="65"/>
        </w:numPr>
        <w:spacing w:lineRule="auto" w:line="360" w:before="120" w:after="120"/>
        <w:ind w:left="1134" w:hanging="567"/>
        <w:jc w:val="both"/>
        <w:rPr>
          <w:rFonts w:ascii="Arial" w:hAnsi="Arial" w:cs="Arial"/>
          <w:sz w:val="24"/>
          <w:szCs w:val="24"/>
        </w:rPr>
      </w:pPr>
      <w:r>
        <w:rPr>
          <w:rFonts w:cs="Arial" w:ascii="Arial" w:hAnsi="Arial"/>
          <w:sz w:val="24"/>
          <w:szCs w:val="24"/>
        </w:rPr>
        <w:t>Como segunda prioridade, usuários até 3 anos e 11 meses e 29 dias na data da cirurgia.</w:t>
      </w:r>
    </w:p>
    <w:p>
      <w:pPr>
        <w:pStyle w:val="Corpodetexto"/>
        <w:spacing w:lineRule="auto" w:line="360" w:before="120" w:after="120"/>
        <w:ind w:firstLine="567"/>
        <w:jc w:val="both"/>
        <w:rPr>
          <w:rFonts w:ascii="Arial" w:hAnsi="Arial" w:cs="Arial"/>
          <w:sz w:val="24"/>
          <w:szCs w:val="24"/>
        </w:rPr>
      </w:pPr>
      <w:r>
        <w:rPr>
          <w:rFonts w:cs="Arial" w:ascii="Arial" w:hAnsi="Arial"/>
          <w:sz w:val="24"/>
          <w:szCs w:val="24"/>
        </w:rPr>
        <w:t>Em ambos os casos, seguem a ordem cronológica de entrada na fila de espera.</w:t>
      </w:r>
    </w:p>
    <w:p>
      <w:pPr>
        <w:pStyle w:val="Corpodetexto"/>
        <w:spacing w:lineRule="auto" w:line="360" w:before="120" w:after="120"/>
        <w:ind w:firstLine="567"/>
        <w:jc w:val="both"/>
        <w:rPr/>
      </w:pPr>
      <w:r>
        <w:rPr>
          <w:rFonts w:cs="Arial" w:ascii="Arial" w:hAnsi="Arial"/>
          <w:sz w:val="24"/>
          <w:szCs w:val="24"/>
        </w:rPr>
        <w:t xml:space="preserve">Para o agendamento da </w:t>
      </w:r>
      <w:r>
        <w:rPr>
          <w:rFonts w:cs="Arial" w:ascii="Arial" w:hAnsi="Arial"/>
          <w:b/>
          <w:bCs/>
          <w:sz w:val="24"/>
          <w:szCs w:val="24"/>
          <w:u w:val="single"/>
        </w:rPr>
        <w:t>segunda cirurgia do mês</w:t>
      </w:r>
      <w:r>
        <w:rPr>
          <w:rFonts w:cs="Arial" w:ascii="Arial" w:hAnsi="Arial"/>
          <w:sz w:val="24"/>
          <w:szCs w:val="24"/>
        </w:rPr>
        <w:t>, seguem os critérios da ordem cronológica da lista de espera.</w:t>
      </w:r>
    </w:p>
    <w:p>
      <w:pPr>
        <w:pStyle w:val="Corpodetexto"/>
        <w:spacing w:lineRule="auto" w:line="360" w:before="120" w:after="120"/>
        <w:jc w:val="both"/>
        <w:rPr/>
      </w:pPr>
      <w:r>
        <w:rPr/>
      </w:r>
    </w:p>
    <w:p>
      <w:pPr>
        <w:pStyle w:val="Ttulo3"/>
        <w:numPr>
          <w:ilvl w:val="2"/>
          <w:numId w:val="3"/>
        </w:numPr>
        <w:rPr>
          <w:rStyle w:val="Forte1"/>
        </w:rPr>
      </w:pPr>
      <w:bookmarkStart w:id="80" w:name="__DdeLink__3178_208251034"/>
      <w:bookmarkStart w:id="81" w:name="_Toc434344442"/>
      <w:bookmarkStart w:id="82" w:name="_Toc434148364"/>
      <w:bookmarkEnd w:id="80"/>
      <w:bookmarkEnd w:id="81"/>
      <w:bookmarkEnd w:id="82"/>
      <w:r>
        <w:rPr>
          <w:rStyle w:val="Forte1"/>
        </w:rPr>
        <w:t>6.3.6 Terapia fonoaudiológica</w:t>
      </w:r>
    </w:p>
    <w:p>
      <w:pPr>
        <w:pStyle w:val="Corpodetexto"/>
        <w:rPr/>
      </w:pPr>
      <w:r>
        <w:rPr/>
      </w:r>
    </w:p>
    <w:p>
      <w:pPr>
        <w:pStyle w:val="Normal"/>
        <w:spacing w:lineRule="auto" w:line="360" w:before="120" w:after="120"/>
        <w:ind w:firstLine="567"/>
        <w:jc w:val="both"/>
        <w:rPr>
          <w:rFonts w:ascii="Arial" w:hAnsi="Arial" w:eastAsia="SimSun" w:cs="Arial"/>
          <w:b/>
          <w:b/>
          <w:bCs/>
          <w:sz w:val="24"/>
          <w:szCs w:val="24"/>
          <w:lang w:bidi="hi-IN"/>
        </w:rPr>
      </w:pPr>
      <w:r>
        <w:rPr>
          <w:rFonts w:cs="Arial" w:ascii="Arial" w:hAnsi="Arial"/>
          <w:sz w:val="24"/>
          <w:szCs w:val="24"/>
        </w:rPr>
        <w:t>Os critérios para a terapia fonoaudiológica estão em consonância com a Portaria GM nº 2.776, de 18 de dezembro de 2014, no art. 3º, b. A terapia fonoaudiológica será realizada no prestador do SHSA, a critério da equipe deste serviço, seguindo as seguintes recomendações:</w:t>
      </w:r>
    </w:p>
    <w:p>
      <w:pPr>
        <w:pStyle w:val="Normal"/>
        <w:numPr>
          <w:ilvl w:val="0"/>
          <w:numId w:val="66"/>
        </w:numPr>
        <w:spacing w:lineRule="auto" w:line="360" w:before="120" w:after="120"/>
        <w:ind w:left="1134" w:hanging="567"/>
        <w:jc w:val="both"/>
        <w:textAlignment w:val="auto"/>
        <w:rPr>
          <w:rFonts w:ascii="Arial" w:hAnsi="Arial" w:eastAsia="SimSun" w:cs="Arial"/>
          <w:b/>
          <w:b/>
          <w:bCs/>
          <w:sz w:val="24"/>
          <w:szCs w:val="24"/>
          <w:lang w:bidi="hi-IN"/>
        </w:rPr>
      </w:pPr>
      <w:r>
        <w:rPr>
          <w:rFonts w:eastAsia="SimSun" w:cs="Arial" w:ascii="Arial" w:hAnsi="Arial"/>
          <w:b/>
          <w:bCs/>
          <w:sz w:val="24"/>
          <w:szCs w:val="24"/>
          <w:lang w:bidi="hi-IN"/>
        </w:rPr>
        <w:t xml:space="preserve">Criança (0 a 12 anos): </w:t>
      </w:r>
      <w:r>
        <w:rPr>
          <w:rFonts w:eastAsia="SimSun" w:cs="Arial" w:ascii="Arial" w:hAnsi="Arial"/>
          <w:sz w:val="24"/>
          <w:szCs w:val="24"/>
          <w:lang w:bidi="hi-IN"/>
        </w:rPr>
        <w:t>mínimo de 16</w:t>
      </w:r>
      <w:r>
        <w:rPr>
          <w:rFonts w:eastAsia="SimSun" w:cs="Arial" w:ascii="Arial" w:hAnsi="Arial"/>
          <w:bCs/>
          <w:sz w:val="24"/>
          <w:szCs w:val="24"/>
          <w:lang w:bidi="hi-IN"/>
        </w:rPr>
        <w:t xml:space="preserve"> sessões de terapia fonoaudiológica, de 30 a 45 minutos, sendo atendimento individual ou em grupo de acordo com a avaliação da equipe do serviço. </w:t>
      </w:r>
      <w:r>
        <w:rPr>
          <w:rFonts w:eastAsia="SimSun" w:cs="Arial" w:ascii="Arial" w:hAnsi="Arial"/>
          <w:sz w:val="24"/>
          <w:szCs w:val="24"/>
          <w:shd w:fill="FFFFFF" w:val="clear"/>
          <w:lang w:bidi="hi-IN"/>
        </w:rPr>
        <w:t>Sugere-se o atendimento semanal.</w:t>
      </w:r>
    </w:p>
    <w:p>
      <w:pPr>
        <w:pStyle w:val="Normal"/>
        <w:keepLines/>
        <w:numPr>
          <w:ilvl w:val="0"/>
          <w:numId w:val="66"/>
        </w:numPr>
        <w:spacing w:lineRule="auto" w:line="360" w:before="120" w:after="120"/>
        <w:ind w:left="1134" w:hanging="567"/>
        <w:jc w:val="both"/>
        <w:textAlignment w:val="auto"/>
        <w:rPr>
          <w:rFonts w:ascii="Arial" w:hAnsi="Arial" w:eastAsia="SimSun" w:cs="Arial"/>
          <w:b/>
          <w:b/>
          <w:bCs/>
          <w:sz w:val="24"/>
          <w:szCs w:val="24"/>
          <w:lang w:bidi="hi-IN"/>
        </w:rPr>
      </w:pPr>
      <w:r>
        <w:rPr>
          <w:rFonts w:eastAsia="SimSun" w:cs="Arial" w:ascii="Arial" w:hAnsi="Arial"/>
          <w:b/>
          <w:bCs/>
          <w:sz w:val="24"/>
          <w:szCs w:val="24"/>
          <w:lang w:bidi="hi-IN"/>
        </w:rPr>
        <w:t xml:space="preserve">Adolescente (a partir de 13 anos) e adulto: </w:t>
      </w:r>
      <w:r>
        <w:rPr>
          <w:rFonts w:eastAsia="SimSun" w:cs="Arial" w:ascii="Arial" w:hAnsi="Arial"/>
          <w:sz w:val="24"/>
          <w:szCs w:val="24"/>
          <w:lang w:bidi="hi-IN"/>
        </w:rPr>
        <w:t xml:space="preserve">mínimo de quatro </w:t>
      </w:r>
      <w:r>
        <w:rPr>
          <w:rFonts w:eastAsia="SimSun" w:cs="Arial" w:ascii="Arial" w:hAnsi="Arial"/>
          <w:bCs/>
          <w:sz w:val="24"/>
          <w:szCs w:val="24"/>
          <w:lang w:bidi="hi-IN"/>
        </w:rPr>
        <w:t>sessões de terapia fonoaudiológica, de 30 a 45 minutos, sendo atendimento individual ou em grupo de acordo com a avaliação da equipe do serviço.</w:t>
      </w:r>
      <w:r>
        <w:rPr>
          <w:rFonts w:eastAsia="SimSun" w:cs="Arial" w:ascii="Arial" w:hAnsi="Arial"/>
          <w:b/>
          <w:bCs/>
          <w:sz w:val="24"/>
          <w:szCs w:val="24"/>
          <w:lang w:bidi="hi-IN"/>
        </w:rPr>
        <w:t xml:space="preserve"> </w:t>
      </w:r>
      <w:r>
        <w:rPr>
          <w:rFonts w:eastAsia="SimSun" w:cs="Arial" w:ascii="Arial" w:hAnsi="Arial"/>
          <w:sz w:val="24"/>
          <w:szCs w:val="24"/>
          <w:shd w:fill="FFFFFF" w:val="clear"/>
          <w:lang w:bidi="hi-IN"/>
        </w:rPr>
        <w:t>Sugere-se o atendimento semanal.</w:t>
      </w:r>
    </w:p>
    <w:p>
      <w:pPr>
        <w:pStyle w:val="Normal"/>
        <w:numPr>
          <w:ilvl w:val="0"/>
          <w:numId w:val="66"/>
        </w:numPr>
        <w:spacing w:lineRule="auto" w:line="360" w:before="120" w:after="120"/>
        <w:ind w:left="1134" w:hanging="567"/>
        <w:jc w:val="both"/>
        <w:textAlignment w:val="auto"/>
        <w:rPr>
          <w:rFonts w:ascii="Arial" w:hAnsi="Arial" w:eastAsia="SimSun" w:cs="Arial"/>
          <w:bCs/>
          <w:sz w:val="24"/>
          <w:szCs w:val="24"/>
          <w:lang w:bidi="hi-IN"/>
        </w:rPr>
      </w:pPr>
      <w:r>
        <w:rPr>
          <w:rFonts w:eastAsia="SimSun" w:cs="Arial" w:ascii="Arial" w:hAnsi="Arial"/>
          <w:b/>
          <w:bCs/>
          <w:sz w:val="24"/>
          <w:szCs w:val="24"/>
          <w:lang w:bidi="hi-IN"/>
        </w:rPr>
        <w:t xml:space="preserve">Idoso: </w:t>
      </w:r>
      <w:r>
        <w:rPr>
          <w:rFonts w:eastAsia="SimSun" w:cs="Arial" w:ascii="Arial" w:hAnsi="Arial"/>
          <w:sz w:val="24"/>
          <w:szCs w:val="24"/>
          <w:lang w:bidi="hi-IN"/>
        </w:rPr>
        <w:t>mínimo de seis sessões de terapia fonoaudiológica, durante seis semanas, de 30 a 45 minutos, sendo atendimento individual ou em grupo de acordo com a avaliação da equipe do serviço.</w:t>
      </w:r>
      <w:r>
        <w:rPr>
          <w:rFonts w:eastAsia="SimSun" w:cs="Arial" w:ascii="Arial" w:hAnsi="Arial"/>
          <w:bCs/>
          <w:sz w:val="24"/>
          <w:szCs w:val="24"/>
          <w:lang w:bidi="hi-IN"/>
        </w:rPr>
        <w:t xml:space="preserve"> </w:t>
      </w:r>
      <w:r>
        <w:rPr>
          <w:rFonts w:eastAsia="SimSun" w:cs="Arial" w:ascii="Arial" w:hAnsi="Arial"/>
          <w:sz w:val="24"/>
          <w:szCs w:val="24"/>
          <w:shd w:fill="FFFFFF" w:val="clear"/>
          <w:lang w:bidi="hi-IN"/>
        </w:rPr>
        <w:t>Sugere-se o atendimento semanal.</w:t>
      </w:r>
    </w:p>
    <w:p>
      <w:pPr>
        <w:pStyle w:val="Normal"/>
        <w:spacing w:lineRule="auto" w:line="360" w:before="120" w:after="120"/>
        <w:ind w:firstLine="567"/>
        <w:jc w:val="both"/>
        <w:textAlignment w:val="auto"/>
        <w:rPr>
          <w:rFonts w:ascii="Arial" w:hAnsi="Arial" w:eastAsia="SimSun" w:cs="Arial"/>
          <w:sz w:val="24"/>
          <w:szCs w:val="24"/>
          <w:lang w:bidi="hi-IN"/>
        </w:rPr>
      </w:pPr>
      <w:r>
        <w:rPr>
          <w:rFonts w:eastAsia="SimSun" w:cs="Arial" w:ascii="Arial" w:hAnsi="Arial"/>
          <w:bCs/>
          <w:sz w:val="24"/>
          <w:szCs w:val="24"/>
          <w:lang w:bidi="hi-IN"/>
        </w:rPr>
        <w:t xml:space="preserve">A avaliação e o processo de reabilitação em relação aos aspectos auditivos e de linguagem devem ser registrados no prontuário do usuário. </w:t>
      </w:r>
    </w:p>
    <w:p>
      <w:pPr>
        <w:pStyle w:val="Normal"/>
        <w:spacing w:lineRule="auto" w:line="360" w:before="120" w:after="120"/>
        <w:ind w:firstLine="567"/>
        <w:jc w:val="both"/>
        <w:textAlignment w:val="auto"/>
        <w:rPr/>
      </w:pPr>
      <w:r>
        <w:rPr>
          <w:rFonts w:eastAsia="SimSun" w:cs="Arial" w:ascii="Arial" w:hAnsi="Arial"/>
          <w:sz w:val="24"/>
          <w:szCs w:val="24"/>
          <w:lang w:bidi="hi-IN"/>
        </w:rPr>
        <w:t>Após o término da quantidade indicada de sessões de terapia fonoaudiológica realizada pelo fonoaudiólogo do SHSA, o usuário poderá ser contrarreferenciado para continuidade da referida terapia na atenção básica.</w:t>
      </w:r>
    </w:p>
    <w:p>
      <w:pPr>
        <w:pStyle w:val="Normal"/>
        <w:spacing w:lineRule="auto" w:line="360" w:before="120" w:after="120"/>
        <w:ind w:firstLine="567"/>
        <w:jc w:val="both"/>
        <w:textAlignment w:val="auto"/>
        <w:rPr>
          <w:rFonts w:ascii="Arial" w:hAnsi="Arial" w:eastAsia="SimSun" w:cs="Arial"/>
          <w:sz w:val="24"/>
          <w:szCs w:val="24"/>
          <w:lang w:bidi="hi-IN"/>
        </w:rPr>
      </w:pPr>
      <w:r>
        <w:rPr>
          <w:rFonts w:eastAsia="SimSun" w:cs="Arial" w:ascii="Arial" w:hAnsi="Arial"/>
          <w:sz w:val="24"/>
          <w:szCs w:val="24"/>
          <w:lang w:bidi="hi-IN"/>
        </w:rPr>
      </w:r>
    </w:p>
    <w:p>
      <w:pPr>
        <w:pStyle w:val="Ttulo3"/>
        <w:widowControl/>
        <w:numPr>
          <w:ilvl w:val="2"/>
          <w:numId w:val="3"/>
        </w:numPr>
        <w:suppressAutoHyphens w:val="false"/>
        <w:overflowPunct w:val="false"/>
        <w:textAlignment w:val="auto"/>
        <w:rPr>
          <w:rFonts w:ascii="Arial" w:hAnsi="Arial" w:cs="Arial"/>
          <w:sz w:val="24"/>
          <w:szCs w:val="24"/>
        </w:rPr>
      </w:pPr>
      <w:r>
        <w:rPr>
          <w:rStyle w:val="Forte1"/>
          <w:rFonts w:cs="Arial" w:ascii="Arial" w:hAnsi="Arial"/>
          <w:color w:val="000000"/>
          <w:sz w:val="24"/>
          <w:szCs w:val="24"/>
        </w:rPr>
        <w:t>6.4 Sistema ATPCD – módulo auditivo</w:t>
      </w:r>
    </w:p>
    <w:p>
      <w:pPr>
        <w:pStyle w:val="Ttulo4"/>
        <w:widowControl/>
        <w:numPr>
          <w:ilvl w:val="3"/>
          <w:numId w:val="2"/>
        </w:numPr>
        <w:suppressAutoHyphens w:val="false"/>
        <w:overflowPunct w:val="false"/>
        <w:textAlignment w:val="auto"/>
        <w:rPr>
          <w:rStyle w:val="Forte1"/>
          <w:color w:val="000000"/>
        </w:rPr>
      </w:pPr>
      <w:r>
        <w:rPr>
          <w:b w:val="false"/>
          <w:bCs w:val="false"/>
        </w:rPr>
      </w:r>
    </w:p>
    <w:p>
      <w:pPr>
        <w:pStyle w:val="Normal"/>
        <w:widowControl/>
        <w:suppressAutoHyphens w:val="true"/>
        <w:overflowPunct w:val="false"/>
        <w:bidi w:val="0"/>
        <w:spacing w:lineRule="auto" w:line="360"/>
        <w:jc w:val="both"/>
        <w:textAlignment w:val="auto"/>
        <w:rPr>
          <w:rFonts w:ascii="Arial" w:hAnsi="Arial" w:cs="Arial"/>
          <w:sz w:val="24"/>
          <w:szCs w:val="24"/>
        </w:rPr>
      </w:pPr>
      <w:r>
        <w:rPr>
          <w:rStyle w:val="Forte1"/>
          <w:rFonts w:cs="Arial" w:ascii="Arial" w:hAnsi="Arial"/>
          <w:b w:val="false"/>
          <w:bCs w:val="false"/>
          <w:color w:val="000000"/>
          <w:sz w:val="24"/>
          <w:szCs w:val="24"/>
        </w:rPr>
        <w:tab/>
      </w:r>
      <w:r>
        <w:rPr>
          <w:rStyle w:val="Forte1"/>
          <w:rFonts w:cs="Arial" w:ascii="Arial" w:hAnsi="Arial"/>
          <w:b w:val="false"/>
          <w:bCs w:val="false"/>
          <w:color w:val="000000"/>
          <w:sz w:val="24"/>
          <w:szCs w:val="24"/>
        </w:rPr>
        <w:t>Todo acompanhamento do paciente, desde a entrada no Serviço Ambulatorial de Saúde Auditiva (SASA) e aqueles que necessitarem do Serviço Hospitalar de Saúde Auditiva (SHSA) será feito por meio do seu cadastro no Sistema ATPCD – módulo auditivo, antigo AVOS.</w:t>
      </w:r>
    </w:p>
    <w:p>
      <w:pPr>
        <w:pStyle w:val="Normal"/>
        <w:widowControl/>
        <w:suppressAutoHyphens w:val="true"/>
        <w:overflowPunct w:val="false"/>
        <w:bidi w:val="0"/>
        <w:spacing w:lineRule="auto" w:line="360"/>
        <w:jc w:val="both"/>
        <w:textAlignment w:val="auto"/>
        <w:rPr>
          <w:rFonts w:ascii="Arial" w:hAnsi="Arial" w:cs="Arial"/>
          <w:sz w:val="24"/>
          <w:szCs w:val="24"/>
        </w:rPr>
      </w:pPr>
      <w:r>
        <w:rPr>
          <w:rStyle w:val="Forte1"/>
          <w:rFonts w:cs="Arial" w:ascii="Arial" w:hAnsi="Arial"/>
          <w:b w:val="false"/>
          <w:bCs w:val="false"/>
          <w:color w:val="000000"/>
          <w:sz w:val="24"/>
          <w:szCs w:val="24"/>
        </w:rPr>
        <w:tab/>
        <w:t>No SASA já está em funcionamento o prontuário eletrônico, onde todo o fluxo de regulação e acompanhamento, até a inserção de APAC (para o pagamento do procedimento) ocorrerá via sistema e não mais pelo processo físico.</w:t>
      </w:r>
    </w:p>
    <w:p>
      <w:pPr>
        <w:pStyle w:val="Normal"/>
        <w:widowControl/>
        <w:suppressAutoHyphens w:val="true"/>
        <w:overflowPunct w:val="false"/>
        <w:bidi w:val="0"/>
        <w:spacing w:lineRule="auto" w:line="360"/>
        <w:jc w:val="both"/>
        <w:textAlignment w:val="auto"/>
        <w:rPr>
          <w:rFonts w:ascii="Arial" w:hAnsi="Arial" w:cs="Arial"/>
          <w:sz w:val="24"/>
          <w:szCs w:val="24"/>
        </w:rPr>
      </w:pPr>
      <w:r>
        <w:rPr>
          <w:rStyle w:val="Forte1"/>
          <w:rFonts w:cs="Arial" w:ascii="Arial" w:hAnsi="Arial"/>
          <w:b w:val="false"/>
          <w:bCs w:val="false"/>
          <w:color w:val="000000"/>
          <w:sz w:val="24"/>
          <w:szCs w:val="24"/>
        </w:rPr>
        <w:tab/>
        <w:t>Uma vez que todos os gestores, prestadores e reguladores já foram capacitados, todos deverão utilizar o sistema , não havendo mais outra forma de liberação dos procedimentos e APACs.</w:t>
      </w:r>
    </w:p>
    <w:p>
      <w:pPr>
        <w:pStyle w:val="Normal"/>
        <w:widowControl/>
        <w:suppressAutoHyphens w:val="true"/>
        <w:overflowPunct w:val="false"/>
        <w:bidi w:val="0"/>
        <w:jc w:val="both"/>
        <w:textAlignment w:val="auto"/>
        <w:rPr>
          <w:rStyle w:val="Forte1"/>
          <w:color w:val="000000"/>
        </w:rPr>
      </w:pPr>
      <w:r>
        <w:rPr>
          <w:b w:val="false"/>
          <w:bCs w:val="false"/>
        </w:rPr>
      </w:r>
      <w:r>
        <w:br w:type="page"/>
      </w:r>
    </w:p>
    <w:p>
      <w:pPr>
        <w:pStyle w:val="Normal"/>
        <w:spacing w:lineRule="auto" w:line="360" w:before="120" w:after="120"/>
        <w:ind w:firstLine="567"/>
        <w:jc w:val="both"/>
        <w:textAlignment w:val="auto"/>
        <w:rPr/>
      </w:pPr>
      <w:r>
        <w:rPr/>
      </w:r>
    </w:p>
    <w:p>
      <w:pPr>
        <w:pStyle w:val="Ttulo1"/>
        <w:numPr>
          <w:ilvl w:val="0"/>
          <w:numId w:val="3"/>
        </w:numPr>
        <w:rPr>
          <w:rFonts w:ascii="Arial" w:hAnsi="Arial" w:cs="Arial"/>
          <w:b/>
          <w:b/>
          <w:sz w:val="24"/>
          <w:szCs w:val="24"/>
        </w:rPr>
      </w:pPr>
      <w:bookmarkStart w:id="83" w:name="_GoBack"/>
      <w:bookmarkStart w:id="84" w:name="_Toc434344443"/>
      <w:bookmarkStart w:id="85" w:name="_Toc434148366"/>
      <w:bookmarkEnd w:id="83"/>
      <w:bookmarkEnd w:id="84"/>
      <w:bookmarkEnd w:id="85"/>
      <w:r>
        <w:rPr>
          <w:rFonts w:cs="Arial" w:ascii="Arial" w:hAnsi="Arial"/>
          <w:b/>
          <w:sz w:val="24"/>
          <w:szCs w:val="24"/>
        </w:rPr>
        <w:t>REFERÊNCIAS BIBLIOGRÁFICAS</w:t>
      </w:r>
    </w:p>
    <w:p>
      <w:pPr>
        <w:pStyle w:val="Normal"/>
        <w:spacing w:before="120" w:after="120"/>
        <w:rPr/>
      </w:pPr>
      <w:r>
        <w:rPr/>
      </w:r>
    </w:p>
    <w:p>
      <w:pPr>
        <w:pStyle w:val="Normal"/>
        <w:spacing w:before="120" w:after="120"/>
        <w:rPr/>
      </w:pPr>
      <w:r>
        <w:rPr>
          <w:rFonts w:cs="Arial" w:ascii="Arial" w:hAnsi="Arial"/>
          <w:sz w:val="24"/>
          <w:szCs w:val="24"/>
        </w:rPr>
        <w:t xml:space="preserve">BRASIL. Congresso Nacional. </w:t>
      </w:r>
      <w:r>
        <w:rPr>
          <w:rFonts w:cs="Arial" w:ascii="Arial" w:hAnsi="Arial"/>
          <w:b/>
          <w:sz w:val="24"/>
          <w:szCs w:val="24"/>
        </w:rPr>
        <w:t>Constituição da República Federativa do Brasil.</w:t>
      </w:r>
      <w:r>
        <w:rPr>
          <w:rFonts w:cs="Arial" w:ascii="Arial" w:hAnsi="Arial"/>
          <w:sz w:val="24"/>
          <w:szCs w:val="24"/>
        </w:rPr>
        <w:t xml:space="preserve"> Promulgada em 05</w:t>
      </w:r>
      <w:r>
        <w:rPr>
          <w:rFonts w:cs="Arial" w:ascii="Arial" w:hAnsi="Arial"/>
          <w:spacing w:val="-2"/>
          <w:sz w:val="24"/>
          <w:szCs w:val="24"/>
        </w:rPr>
        <w:t xml:space="preserve"> de outubro de 1988.</w:t>
      </w:r>
      <w:r>
        <w:rPr>
          <w:rFonts w:cs="Arial" w:ascii="Arial" w:hAnsi="Arial"/>
          <w:bCs/>
          <w:iCs/>
          <w:spacing w:val="-4"/>
          <w:sz w:val="24"/>
          <w:szCs w:val="24"/>
        </w:rPr>
        <w:t xml:space="preserve"> [documento internet] 1988.</w:t>
      </w:r>
      <w:r>
        <w:rPr>
          <w:rFonts w:cs="Arial" w:ascii="Arial" w:hAnsi="Arial"/>
          <w:spacing w:val="-2"/>
          <w:sz w:val="24"/>
          <w:szCs w:val="24"/>
        </w:rPr>
        <w:t xml:space="preserve"> Disponível em: &lt;</w:t>
      </w:r>
      <w:hyperlink r:id="rId18">
        <w:r>
          <w:rPr>
            <w:webHidden/>
            <w:rStyle w:val="LinkdaInternet"/>
            <w:rFonts w:eastAsia="SimSun" w:cs="Arial" w:ascii="Arial" w:hAnsi="Arial"/>
            <w:vanish/>
            <w:color w:val="00000A"/>
            <w:spacing w:val="-2"/>
            <w:sz w:val="24"/>
            <w:szCs w:val="24"/>
            <w:lang w:bidi="hi-IN"/>
          </w:rPr>
          <w:t>http://www.planalto.gov.br/ccivil_03/Constituicao/Constituicao.htm</w:t>
        </w:r>
      </w:hyperlink>
      <w:r>
        <w:rPr>
          <w:rFonts w:cs="Arial" w:ascii="Arial" w:hAnsi="Arial"/>
          <w:spacing w:val="-2"/>
          <w:sz w:val="24"/>
          <w:szCs w:val="24"/>
        </w:rPr>
        <w:t>&gt;</w:t>
      </w:r>
      <w:r>
        <w:rPr>
          <w:rFonts w:cs="Arial" w:ascii="Arial" w:hAnsi="Arial"/>
          <w:sz w:val="24"/>
          <w:szCs w:val="24"/>
        </w:rPr>
        <w:t>. Acesso em: 17 jun. 2015.</w:t>
      </w:r>
    </w:p>
    <w:p>
      <w:pPr>
        <w:pStyle w:val="Normal"/>
        <w:spacing w:before="120" w:after="120"/>
        <w:rPr>
          <w:rFonts w:ascii="Arial" w:hAnsi="Arial" w:cs="Arial"/>
          <w:sz w:val="24"/>
          <w:szCs w:val="24"/>
        </w:rPr>
      </w:pPr>
      <w:r>
        <w:rPr>
          <w:rFonts w:cs="Arial" w:ascii="Arial" w:hAnsi="Arial"/>
          <w:sz w:val="24"/>
          <w:szCs w:val="24"/>
        </w:rPr>
        <w:t xml:space="preserve">______ . </w:t>
      </w:r>
      <w:r>
        <w:rPr>
          <w:rFonts w:cs="Arial" w:ascii="Arial" w:hAnsi="Arial"/>
          <w:b/>
          <w:sz w:val="24"/>
          <w:szCs w:val="24"/>
        </w:rPr>
        <w:t>Lei n</w:t>
      </w:r>
      <w:r>
        <w:rPr>
          <w:rFonts w:cs="Arial" w:ascii="Arial" w:hAnsi="Arial"/>
          <w:b/>
          <w:sz w:val="24"/>
          <w:szCs w:val="24"/>
          <w:vertAlign w:val="superscript"/>
        </w:rPr>
        <w:t>o</w:t>
      </w:r>
      <w:r>
        <w:rPr>
          <w:rFonts w:cs="Arial" w:ascii="Arial" w:hAnsi="Arial"/>
          <w:b/>
          <w:sz w:val="24"/>
          <w:szCs w:val="24"/>
        </w:rPr>
        <w:t xml:space="preserve"> 8.080</w:t>
      </w:r>
      <w:r>
        <w:rPr>
          <w:rFonts w:cs="Arial" w:ascii="Arial" w:hAnsi="Arial"/>
          <w:sz w:val="24"/>
          <w:szCs w:val="24"/>
        </w:rPr>
        <w:t xml:space="preserve">, de 19 de setembro de 1990. Dispõe sobre as condições para a promoção, proteção e recuperação da saúde, a organização e o funcionamento dos serviços correspondentes e dá outras providências. </w:t>
      </w:r>
      <w:r>
        <w:rPr>
          <w:rFonts w:cs="Arial" w:ascii="Arial" w:hAnsi="Arial"/>
          <w:bCs/>
          <w:iCs/>
          <w:spacing w:val="-4"/>
          <w:sz w:val="24"/>
          <w:szCs w:val="24"/>
        </w:rPr>
        <w:t xml:space="preserve">[documento internet] </w:t>
      </w:r>
      <w:r>
        <w:rPr>
          <w:rFonts w:cs="Arial" w:ascii="Arial" w:hAnsi="Arial"/>
          <w:sz w:val="24"/>
          <w:szCs w:val="24"/>
        </w:rPr>
        <w:t>1990a. Disponível em: &lt;</w:t>
      </w:r>
      <w:r>
        <w:rPr>
          <w:rFonts w:eastAsia="SimSun" w:cs="Arial" w:ascii="Arial" w:hAnsi="Arial"/>
          <w:sz w:val="24"/>
          <w:szCs w:val="24"/>
          <w:lang w:bidi="hi-IN"/>
        </w:rPr>
        <w:t>http://www.planalto.gov.br/ccivil_03/Leis/L8080.htm</w:t>
      </w:r>
      <w:r>
        <w:rPr>
          <w:rFonts w:cs="Arial" w:ascii="Arial" w:hAnsi="Arial"/>
          <w:sz w:val="24"/>
          <w:szCs w:val="24"/>
        </w:rPr>
        <w:t>&gt;. Acesso em: 17 jun. 2015.</w:t>
      </w:r>
    </w:p>
    <w:p>
      <w:pPr>
        <w:pStyle w:val="Normal"/>
        <w:rPr/>
      </w:pPr>
      <w:r>
        <w:rPr>
          <w:rFonts w:cs="Arial" w:ascii="Arial" w:hAnsi="Arial"/>
          <w:sz w:val="24"/>
          <w:szCs w:val="24"/>
          <w:lang w:val="en-US"/>
        </w:rPr>
        <w:t xml:space="preserve">______. </w:t>
      </w:r>
      <w:r>
        <w:rPr>
          <w:rFonts w:cs="Arial" w:ascii="Arial" w:hAnsi="Arial"/>
          <w:b/>
          <w:sz w:val="24"/>
          <w:szCs w:val="24"/>
          <w:lang w:val="en-US"/>
        </w:rPr>
        <w:t>Lei 8.078</w:t>
      </w:r>
      <w:r>
        <w:rPr>
          <w:rFonts w:cs="Arial" w:ascii="Arial" w:hAnsi="Arial"/>
          <w:sz w:val="24"/>
          <w:szCs w:val="24"/>
          <w:lang w:val="en-US"/>
        </w:rPr>
        <w:t xml:space="preserve">, de 11 de setembro de 1990. Dispõe sobre a proteção do consumidor e dá outras providências. Disponível em:&lt; </w:t>
      </w:r>
      <w:hyperlink r:id="rId19">
        <w:r>
          <w:rPr>
            <w:webHidden/>
            <w:rStyle w:val="LinkdaInternet"/>
            <w:rFonts w:cs="Arial" w:ascii="Arial" w:hAnsi="Arial"/>
            <w:vanish/>
            <w:sz w:val="24"/>
            <w:szCs w:val="24"/>
            <w:lang w:val="en-US"/>
          </w:rPr>
          <w:t>http://www.planalto.gov.br/ccivil_03/Leis/L8078.htm</w:t>
        </w:r>
      </w:hyperlink>
      <w:r>
        <w:rPr>
          <w:rFonts w:cs="Arial" w:ascii="Arial" w:hAnsi="Arial"/>
          <w:sz w:val="24"/>
          <w:szCs w:val="24"/>
          <w:lang w:val="en-US"/>
        </w:rPr>
        <w:t>&gt;. Acesso em: 15 jun. 2015.</w:t>
      </w:r>
    </w:p>
    <w:p>
      <w:pPr>
        <w:pStyle w:val="Normal"/>
        <w:spacing w:before="120" w:after="120"/>
        <w:rPr>
          <w:rFonts w:ascii="Arial" w:hAnsi="Arial" w:eastAsia="SimSun" w:cs="Arial"/>
          <w:spacing w:val="-4"/>
          <w:sz w:val="24"/>
          <w:szCs w:val="24"/>
          <w:lang w:bidi="hi-IN"/>
        </w:rPr>
      </w:pPr>
      <w:r>
        <w:rPr>
          <w:rFonts w:cs="Arial" w:ascii="Arial" w:hAnsi="Arial"/>
          <w:spacing w:val="-4"/>
          <w:sz w:val="24"/>
          <w:szCs w:val="24"/>
        </w:rPr>
        <w:t xml:space="preserve">______ . Ministério da Saúde. Secretaria de Atenção à Saúde. Departamento de Ações Programáticas Estratégicas. </w:t>
      </w:r>
      <w:r>
        <w:rPr>
          <w:rFonts w:cs="Arial" w:ascii="Arial" w:hAnsi="Arial"/>
          <w:b/>
          <w:bCs/>
          <w:spacing w:val="-4"/>
          <w:sz w:val="24"/>
          <w:szCs w:val="24"/>
        </w:rPr>
        <w:t>Diretrizes de Atenção da Triagem Auditiva Neonatal</w:t>
      </w:r>
      <w:r>
        <w:rPr>
          <w:rFonts w:cs="Arial" w:ascii="Arial" w:hAnsi="Arial"/>
          <w:spacing w:val="-4"/>
          <w:sz w:val="24"/>
          <w:szCs w:val="24"/>
        </w:rPr>
        <w:t xml:space="preserve"> / Ministério da Saúde, Secretaria de Atenção à Saúde, Departamento de Ações Programáticas Estratégicas e Departamento de Atenção Especializada. Brasília:  Ministério da Saúde, 2012.</w:t>
      </w:r>
    </w:p>
    <w:p>
      <w:pPr>
        <w:pStyle w:val="Normal"/>
        <w:spacing w:before="120" w:after="120"/>
        <w:rPr/>
      </w:pPr>
      <w:r>
        <w:rPr>
          <w:rFonts w:eastAsia="SimSun" w:cs="Arial" w:ascii="Arial" w:hAnsi="Arial"/>
          <w:spacing w:val="-4"/>
          <w:sz w:val="24"/>
          <w:szCs w:val="24"/>
          <w:lang w:bidi="hi-IN"/>
        </w:rPr>
        <w:t xml:space="preserve">______ . Ministério da Saúde (MS). </w:t>
      </w:r>
      <w:r>
        <w:rPr>
          <w:rFonts w:eastAsia="SimSun" w:cs="Arial" w:ascii="Arial" w:hAnsi="Arial"/>
          <w:b/>
          <w:bCs/>
          <w:spacing w:val="-4"/>
          <w:sz w:val="24"/>
          <w:szCs w:val="24"/>
          <w:lang w:bidi="hi-IN"/>
        </w:rPr>
        <w:t>Portaria GM/MS n</w:t>
      </w:r>
      <w:r>
        <w:rPr>
          <w:rFonts w:eastAsia="SimSun" w:cs="Arial" w:ascii="Arial" w:hAnsi="Arial"/>
          <w:b/>
          <w:bCs/>
          <w:spacing w:val="-4"/>
          <w:sz w:val="24"/>
          <w:szCs w:val="24"/>
          <w:vertAlign w:val="superscript"/>
          <w:lang w:bidi="hi-IN"/>
        </w:rPr>
        <w:t>o</w:t>
      </w:r>
      <w:r>
        <w:rPr>
          <w:rFonts w:eastAsia="SimSun" w:cs="Arial" w:ascii="Arial" w:hAnsi="Arial"/>
          <w:b/>
          <w:bCs/>
          <w:spacing w:val="-4"/>
          <w:sz w:val="24"/>
          <w:szCs w:val="24"/>
          <w:lang w:bidi="hi-IN"/>
        </w:rPr>
        <w:t xml:space="preserve"> 2.073</w:t>
      </w:r>
      <w:r>
        <w:rPr>
          <w:rFonts w:eastAsia="SimSun" w:cs="Arial" w:ascii="Arial" w:hAnsi="Arial"/>
          <w:spacing w:val="-4"/>
          <w:sz w:val="24"/>
          <w:szCs w:val="24"/>
          <w:lang w:bidi="hi-IN"/>
        </w:rPr>
        <w:t xml:space="preserve">, de 28 de setembro de 2004. Institui a Política Nacional de Atenção à Saúde Auditiva. </w:t>
      </w:r>
      <w:r>
        <w:rPr>
          <w:rFonts w:eastAsia="SimSun" w:cs="Arial" w:ascii="Arial" w:hAnsi="Arial"/>
          <w:bCs/>
          <w:iCs/>
          <w:spacing w:val="-4"/>
          <w:sz w:val="24"/>
          <w:szCs w:val="24"/>
          <w:lang w:bidi="hi-IN"/>
        </w:rPr>
        <w:t xml:space="preserve">[documento internet] </w:t>
      </w:r>
      <w:r>
        <w:rPr>
          <w:rFonts w:eastAsia="SimSun" w:cs="Arial" w:ascii="Arial" w:hAnsi="Arial"/>
          <w:spacing w:val="-4"/>
          <w:sz w:val="24"/>
          <w:szCs w:val="24"/>
          <w:lang w:bidi="hi-IN"/>
        </w:rPr>
        <w:t>2015. Disponível em: &lt;</w:t>
      </w:r>
      <w:hyperlink r:id="rId20">
        <w:r>
          <w:rPr>
            <w:webHidden/>
            <w:rStyle w:val="LinkdaInternet"/>
            <w:rFonts w:eastAsia="SimSun" w:cs="Arial" w:ascii="Arial" w:hAnsi="Arial"/>
            <w:vanish/>
            <w:color w:val="00000A"/>
            <w:spacing w:val="-4"/>
            <w:sz w:val="24"/>
            <w:szCs w:val="24"/>
          </w:rPr>
          <w:t>http://bvsms.saude.gov.br/bvs/saudelegis/gm/2004/prt2073_28_09_2004.html</w:t>
        </w:r>
      </w:hyperlink>
      <w:r>
        <w:rPr>
          <w:rFonts w:eastAsia="SimSun" w:cs="Arial" w:ascii="Arial" w:hAnsi="Arial"/>
          <w:spacing w:val="-4"/>
          <w:sz w:val="24"/>
          <w:szCs w:val="24"/>
          <w:lang w:bidi="hi-IN"/>
        </w:rPr>
        <w:t>&gt;. Acesso em: 17 jun. 2015. Revogada.</w:t>
      </w:r>
    </w:p>
    <w:p>
      <w:pPr>
        <w:pStyle w:val="Normal"/>
        <w:spacing w:before="0" w:after="240"/>
        <w:rPr/>
      </w:pPr>
      <w:r>
        <w:rPr>
          <w:rFonts w:cs="Arial" w:ascii="Arial" w:hAnsi="Arial"/>
          <w:sz w:val="24"/>
          <w:szCs w:val="24"/>
          <w:lang w:val="en-US"/>
        </w:rPr>
        <w:t xml:space="preserve">______. Ministério da Saúde (MS). </w:t>
      </w:r>
      <w:r>
        <w:rPr>
          <w:rFonts w:cs="Arial" w:ascii="Arial" w:hAnsi="Arial"/>
          <w:b/>
          <w:bCs/>
          <w:sz w:val="24"/>
          <w:szCs w:val="24"/>
          <w:lang w:val="en-US"/>
        </w:rPr>
        <w:t>Portaria GM/MS n</w:t>
      </w:r>
      <w:r>
        <w:rPr>
          <w:rFonts w:cs="Arial" w:ascii="Arial" w:hAnsi="Arial"/>
          <w:b/>
          <w:bCs/>
          <w:position w:val="16"/>
          <w:sz w:val="24"/>
          <w:szCs w:val="24"/>
          <w:lang w:val="en-US"/>
        </w:rPr>
        <w:t>o</w:t>
      </w:r>
      <w:r>
        <w:rPr>
          <w:rFonts w:cs="Arial" w:ascii="Arial" w:hAnsi="Arial"/>
          <w:b/>
          <w:bCs/>
          <w:sz w:val="24"/>
          <w:szCs w:val="24"/>
          <w:lang w:val="en-US"/>
        </w:rPr>
        <w:t xml:space="preserve"> </w:t>
      </w:r>
      <w:r>
        <w:rPr>
          <w:rFonts w:cs="Arial" w:ascii="Arial" w:hAnsi="Arial"/>
          <w:b/>
          <w:sz w:val="24"/>
          <w:szCs w:val="24"/>
        </w:rPr>
        <w:t>1.274,</w:t>
      </w:r>
      <w:r>
        <w:rPr>
          <w:rFonts w:cs="Arial" w:ascii="Arial" w:hAnsi="Arial"/>
          <w:sz w:val="24"/>
          <w:szCs w:val="24"/>
        </w:rPr>
        <w:t xml:space="preserve"> de 25 de junho de 2013. </w:t>
      </w:r>
      <w:r>
        <w:rPr>
          <w:rFonts w:cs="Arial" w:ascii="Arial" w:hAnsi="Arial"/>
          <w:sz w:val="24"/>
          <w:szCs w:val="24"/>
          <w:lang w:val="en-US"/>
        </w:rPr>
        <w:t xml:space="preserve">Inclui o Procedimento de Sistema de Frequência Modulada Pessoal (FM) na Tabela de Procedimentos, Medicamentos, Órteses, Próteses e Materiais Especiais (OPM) do Sistema Único de Saúde. </w:t>
      </w:r>
      <w:r>
        <w:rPr>
          <w:rFonts w:cs="Arial" w:ascii="Arial" w:hAnsi="Arial"/>
          <w:sz w:val="24"/>
          <w:szCs w:val="24"/>
        </w:rPr>
        <w:t>Disponível em:&lt;</w:t>
      </w:r>
      <w:hyperlink r:id="rId21">
        <w:r>
          <w:rPr>
            <w:webHidden/>
            <w:rStyle w:val="LinkdaInternet"/>
            <w:rFonts w:cs="Arial" w:ascii="Arial" w:hAnsi="Arial"/>
            <w:vanish/>
            <w:sz w:val="24"/>
            <w:szCs w:val="24"/>
          </w:rPr>
          <w:t>http://bvsms.saude.gov.br/bvs/saudelegis/gm/2013/prt1274_25_06_2013.html</w:t>
        </w:r>
      </w:hyperlink>
      <w:r>
        <w:rPr>
          <w:rFonts w:cs="Arial" w:ascii="Arial" w:hAnsi="Arial"/>
          <w:sz w:val="24"/>
          <w:szCs w:val="24"/>
        </w:rPr>
        <w:t>&gt;.</w:t>
      </w:r>
      <w:r>
        <w:rPr>
          <w:rFonts w:cs="Arial" w:ascii="Arial" w:hAnsi="Arial"/>
          <w:sz w:val="24"/>
          <w:szCs w:val="24"/>
          <w:lang w:val="en-US"/>
        </w:rPr>
        <w:t xml:space="preserve"> Acesso em: 15 jun. 2015.</w:t>
      </w:r>
    </w:p>
    <w:p>
      <w:pPr>
        <w:pStyle w:val="Normal"/>
        <w:rPr>
          <w:rFonts w:ascii="Arial" w:hAnsi="Arial" w:cs="Arial"/>
          <w:sz w:val="24"/>
          <w:szCs w:val="24"/>
        </w:rPr>
      </w:pPr>
      <w:r>
        <w:rPr>
          <w:rFonts w:cs="Arial" w:ascii="Arial" w:hAnsi="Arial"/>
          <w:sz w:val="24"/>
          <w:szCs w:val="24"/>
          <w:lang w:val="en-US"/>
        </w:rPr>
        <w:t xml:space="preserve">______. Ministério da Saúde (MS). </w:t>
      </w:r>
      <w:r>
        <w:rPr>
          <w:rFonts w:cs="Arial" w:ascii="Arial" w:hAnsi="Arial"/>
          <w:b/>
          <w:bCs/>
          <w:sz w:val="24"/>
          <w:szCs w:val="24"/>
          <w:lang w:val="en-US"/>
        </w:rPr>
        <w:t>Portaria GM/MS n</w:t>
      </w:r>
      <w:r>
        <w:rPr>
          <w:rFonts w:cs="Arial" w:ascii="Arial" w:hAnsi="Arial"/>
          <w:b/>
          <w:bCs/>
          <w:position w:val="16"/>
          <w:sz w:val="24"/>
          <w:szCs w:val="24"/>
          <w:lang w:val="en-US"/>
        </w:rPr>
        <w:t>o</w:t>
      </w:r>
      <w:r>
        <w:rPr>
          <w:rFonts w:cs="Arial" w:ascii="Arial" w:hAnsi="Arial"/>
          <w:b/>
          <w:bCs/>
          <w:sz w:val="24"/>
          <w:szCs w:val="24"/>
          <w:lang w:val="en-US"/>
        </w:rPr>
        <w:t xml:space="preserve"> </w:t>
      </w:r>
      <w:r>
        <w:rPr>
          <w:rFonts w:cs="Arial" w:ascii="Arial" w:hAnsi="Arial"/>
          <w:b/>
          <w:sz w:val="24"/>
          <w:szCs w:val="24"/>
          <w:lang w:val="en-US"/>
        </w:rPr>
        <w:t>2.776</w:t>
      </w:r>
      <w:r>
        <w:rPr>
          <w:rFonts w:cs="Arial" w:ascii="Arial" w:hAnsi="Arial"/>
          <w:sz w:val="24"/>
          <w:szCs w:val="24"/>
          <w:lang w:val="en-US"/>
        </w:rPr>
        <w:t>, de 18 de dezembro de 2014. Aprova diretrizes gerais, amplia e incorpora procedimentos para a Atenção Especializada às Pessoas com Deficiência Auditiva no Sistema Único de Saúde (SUS).</w:t>
      </w:r>
      <w:r>
        <w:rPr>
          <w:rFonts w:cs="Arial" w:ascii="Arial" w:hAnsi="Arial"/>
          <w:sz w:val="24"/>
          <w:szCs w:val="24"/>
        </w:rPr>
        <w:t xml:space="preserve"> Disponível em: &lt;http://bvsms.saude.gov.br/bvs/saudelegis/gm/2014/prt2776_18_12_2014.html&gt;. </w:t>
      </w:r>
      <w:r>
        <w:rPr>
          <w:rFonts w:cs="Arial" w:ascii="Arial" w:hAnsi="Arial"/>
          <w:sz w:val="24"/>
          <w:szCs w:val="24"/>
          <w:lang w:val="en-US"/>
        </w:rPr>
        <w:t>Acesso em: 15 jun. 2015.</w:t>
      </w:r>
    </w:p>
    <w:p>
      <w:pPr>
        <w:pStyle w:val="Normal"/>
        <w:spacing w:before="120" w:after="120"/>
        <w:rPr>
          <w:rFonts w:ascii="Arial" w:hAnsi="Arial" w:eastAsia="SimSun" w:cs="Arial"/>
          <w:spacing w:val="-4"/>
          <w:sz w:val="24"/>
          <w:szCs w:val="24"/>
          <w:lang w:bidi="hi-IN"/>
        </w:rPr>
      </w:pPr>
      <w:r>
        <w:rPr>
          <w:rFonts w:eastAsia="SimSun" w:cs="Arial" w:ascii="Arial" w:hAnsi="Arial"/>
          <w:spacing w:val="-4"/>
          <w:sz w:val="24"/>
          <w:szCs w:val="24"/>
          <w:lang w:bidi="hi-IN"/>
        </w:rPr>
        <w:t xml:space="preserve">______ . </w:t>
      </w:r>
      <w:r>
        <w:rPr>
          <w:rFonts w:eastAsia="SimSun" w:cs="Arial" w:ascii="Arial" w:hAnsi="Arial"/>
          <w:b/>
          <w:spacing w:val="-4"/>
          <w:sz w:val="24"/>
          <w:szCs w:val="24"/>
          <w:lang w:bidi="hi-IN"/>
        </w:rPr>
        <w:t>Portaria nº 3335/MPAS</w:t>
      </w:r>
      <w:r>
        <w:rPr>
          <w:rFonts w:eastAsia="SimSun" w:cs="Arial" w:ascii="Arial" w:hAnsi="Arial"/>
          <w:spacing w:val="-4"/>
          <w:sz w:val="24"/>
          <w:szCs w:val="24"/>
          <w:lang w:bidi="hi-IN"/>
        </w:rPr>
        <w:t>, de 11 de junho de 1984. [documento internet] 2015.. Acesso em:  jul. 2015.</w:t>
      </w:r>
    </w:p>
    <w:p>
      <w:pPr>
        <w:pStyle w:val="Normal"/>
        <w:spacing w:before="120" w:after="120"/>
        <w:rPr/>
      </w:pPr>
      <w:r>
        <w:rPr>
          <w:rFonts w:cs="Arial" w:ascii="Arial" w:hAnsi="Arial"/>
          <w:sz w:val="24"/>
          <w:szCs w:val="24"/>
        </w:rPr>
        <w:t xml:space="preserve">______. </w:t>
      </w:r>
      <w:r>
        <w:rPr>
          <w:rFonts w:cs="Arial" w:ascii="Arial" w:hAnsi="Arial"/>
          <w:b/>
          <w:bCs/>
          <w:sz w:val="24"/>
          <w:szCs w:val="24"/>
        </w:rPr>
        <w:t>Portaria MS nº 1097</w:t>
      </w:r>
      <w:r>
        <w:rPr>
          <w:rFonts w:cs="Arial" w:ascii="Arial" w:hAnsi="Arial"/>
          <w:sz w:val="24"/>
          <w:szCs w:val="24"/>
        </w:rPr>
        <w:t xml:space="preserve">, </w:t>
      </w:r>
      <w:r>
        <w:rPr>
          <w:rFonts w:eastAsia="SimSun" w:cs="Arial" w:ascii="Arial" w:hAnsi="Arial"/>
          <w:bCs/>
          <w:iCs/>
          <w:spacing w:val="-4"/>
          <w:sz w:val="24"/>
          <w:szCs w:val="24"/>
          <w:lang w:bidi="hi-IN"/>
        </w:rPr>
        <w:t xml:space="preserve">de 22 de maio de 2006. Define o processo da Programação Pactuada e Integrada da Assistência em Saúde seja um processo instituído no âmbito do Sistema Único de Saúde. Disponível em </w:t>
      </w:r>
      <w:hyperlink r:id="rId22">
        <w:r>
          <w:rPr>
            <w:webHidden/>
            <w:rStyle w:val="LinkdaInternet"/>
            <w:rFonts w:eastAsia="SimSun" w:cs="Arial" w:ascii="Arial" w:hAnsi="Arial"/>
            <w:bCs/>
            <w:iCs/>
            <w:vanish/>
            <w:color w:val="00000A"/>
            <w:spacing w:val="-4"/>
            <w:sz w:val="24"/>
            <w:szCs w:val="24"/>
            <w:lang w:bidi="hi-IN"/>
          </w:rPr>
          <w:t>http://www.saude.ba.gov.br/portalcib/images/arquivos/Portarias/2013/PT_MS_N_1097_22.05.2006.pdf</w:t>
        </w:r>
      </w:hyperlink>
      <w:r>
        <w:rPr>
          <w:rFonts w:eastAsia="SimSun" w:cs="Arial" w:ascii="Arial" w:hAnsi="Arial"/>
          <w:bCs/>
          <w:iCs/>
          <w:spacing w:val="-4"/>
          <w:sz w:val="24"/>
          <w:szCs w:val="24"/>
          <w:lang w:bidi="hi-IN"/>
        </w:rPr>
        <w:t xml:space="preserve">. Acesso em: 17 jun. 2015. </w:t>
      </w:r>
    </w:p>
    <w:p>
      <w:pPr>
        <w:pStyle w:val="Normal"/>
        <w:spacing w:before="120" w:after="120"/>
        <w:rPr/>
      </w:pPr>
      <w:r>
        <w:rPr>
          <w:rFonts w:cs="Arial" w:ascii="Arial" w:hAnsi="Arial"/>
          <w:sz w:val="24"/>
          <w:szCs w:val="24"/>
        </w:rPr>
        <w:t xml:space="preserve">______. Portaria MS/SAS n.º 587, de 7 de outubro de 2004. </w:t>
      </w:r>
      <w:r>
        <w:rPr>
          <w:rFonts w:eastAsia="SimSun" w:cs="Arial" w:ascii="Arial" w:hAnsi="Arial"/>
          <w:sz w:val="24"/>
          <w:szCs w:val="24"/>
          <w:lang w:bidi="hi-IN"/>
        </w:rPr>
        <w:t xml:space="preserve">Acesso em 17/06/2015. Revogada. Disponível em </w:t>
      </w:r>
      <w:hyperlink r:id="rId23">
        <w:r>
          <w:rPr>
            <w:webHidden/>
            <w:rStyle w:val="LinkdaInternet"/>
            <w:rFonts w:eastAsia="SimSun" w:cs="Arial" w:ascii="Arial" w:hAnsi="Arial"/>
            <w:vanish/>
            <w:color w:val="00000A"/>
            <w:sz w:val="24"/>
            <w:szCs w:val="24"/>
            <w:lang w:bidi="hi-IN"/>
          </w:rPr>
          <w:t>http://bvsms.saude.gov.br/bvs/saudelegis/sas/2004/prt0587_07_10_2004.html</w:t>
        </w:r>
      </w:hyperlink>
      <w:r>
        <w:rPr>
          <w:rFonts w:eastAsia="SimSun" w:cs="Arial" w:ascii="Arial" w:hAnsi="Arial"/>
          <w:sz w:val="24"/>
          <w:szCs w:val="24"/>
          <w:lang w:bidi="hi-IN"/>
        </w:rPr>
        <w:t xml:space="preserve">. </w:t>
      </w:r>
    </w:p>
    <w:p>
      <w:pPr>
        <w:pStyle w:val="Normal"/>
        <w:spacing w:before="120" w:after="120"/>
        <w:rPr>
          <w:rFonts w:ascii="Arial" w:hAnsi="Arial" w:cs="Arial"/>
          <w:sz w:val="24"/>
          <w:szCs w:val="24"/>
        </w:rPr>
      </w:pPr>
      <w:r>
        <w:rPr>
          <w:rFonts w:cs="Arial" w:ascii="Arial" w:hAnsi="Arial"/>
          <w:sz w:val="24"/>
          <w:szCs w:val="24"/>
        </w:rPr>
        <w:t xml:space="preserve">______. Portaria MS/SAS n.º 589, de 8 de outubro de 2004. </w:t>
      </w:r>
      <w:r>
        <w:rPr>
          <w:rFonts w:eastAsia="SimSun" w:cs="Arial" w:ascii="Arial" w:hAnsi="Arial"/>
          <w:sz w:val="24"/>
          <w:szCs w:val="24"/>
          <w:lang w:bidi="hi-IN"/>
        </w:rPr>
        <w:t>Acesso em 17/06/2015. Disponível em http://bvsms.saude.gov.br/bvs/saudelegis/sas/2004/prt0589_08_10_2004_rep.html.</w:t>
      </w:r>
    </w:p>
    <w:p>
      <w:pPr>
        <w:pStyle w:val="Normal"/>
        <w:spacing w:before="120" w:after="120"/>
        <w:rPr/>
      </w:pPr>
      <w:r>
        <w:rPr>
          <w:rFonts w:cs="Arial" w:ascii="Arial" w:hAnsi="Arial"/>
          <w:sz w:val="24"/>
          <w:szCs w:val="24"/>
        </w:rPr>
        <w:t xml:space="preserve">COMISSÃO INTERGESTORES BIPARTITE (CIB). Secretaria de Estado da Saúde. Governo de Santa Catarina (SES-SC). </w:t>
      </w:r>
      <w:r>
        <w:rPr>
          <w:rFonts w:cs="Arial" w:ascii="Arial" w:hAnsi="Arial"/>
          <w:b/>
          <w:sz w:val="24"/>
          <w:szCs w:val="24"/>
        </w:rPr>
        <w:t>Deliberação 008/CIB/05</w:t>
      </w:r>
      <w:r>
        <w:rPr>
          <w:rFonts w:cs="Arial" w:ascii="Arial" w:hAnsi="Arial"/>
          <w:sz w:val="24"/>
          <w:szCs w:val="24"/>
        </w:rPr>
        <w:t>, de 22 de março de 2005. Plano da Rede de Assistência à Pessoa Portadora de Deficiência Auditiva em Santa Catarina. Anexo</w:t>
      </w:r>
      <w:r>
        <w:rPr>
          <w:rFonts w:eastAsia="SimSun" w:cs="Arial" w:ascii="Arial" w:hAnsi="Arial"/>
          <w:sz w:val="24"/>
          <w:szCs w:val="24"/>
          <w:lang w:bidi="hi-IN"/>
        </w:rPr>
        <w:t>: Aprova o Plano para a Organização da Rede de Assistência à Pessoa Portadora de Deficiência Auditiva em Santa Catarina.</w:t>
      </w:r>
      <w:r>
        <w:rPr>
          <w:rFonts w:cs="Arial" w:ascii="Arial" w:hAnsi="Arial"/>
          <w:bCs/>
          <w:iCs/>
          <w:sz w:val="24"/>
          <w:szCs w:val="24"/>
        </w:rPr>
        <w:t xml:space="preserve">[documento internet] </w:t>
      </w:r>
      <w:r>
        <w:rPr>
          <w:rFonts w:cs="Arial" w:ascii="Arial" w:hAnsi="Arial"/>
          <w:bCs/>
          <w:sz w:val="24"/>
          <w:szCs w:val="24"/>
        </w:rPr>
        <w:t xml:space="preserve">2005. </w:t>
      </w:r>
      <w:r>
        <w:rPr>
          <w:rFonts w:cs="Arial" w:ascii="Arial" w:hAnsi="Arial"/>
          <w:sz w:val="24"/>
          <w:szCs w:val="24"/>
        </w:rPr>
        <w:t>Disponível em: &lt;</w:t>
      </w:r>
      <w:hyperlink r:id="rId24">
        <w:r>
          <w:rPr>
            <w:webHidden/>
            <w:rStyle w:val="LinkdaInternet"/>
            <w:rFonts w:cs="Arial" w:ascii="Arial" w:hAnsi="Arial"/>
            <w:vanish/>
            <w:color w:val="00000A"/>
            <w:sz w:val="24"/>
            <w:szCs w:val="24"/>
            <w:u w:val="none"/>
          </w:rPr>
          <w:t>http://www.saude.sc.gov.br/conselhos_de_saude/CIB/</w:t>
        </w:r>
      </w:hyperlink>
      <w:r>
        <w:rPr>
          <w:rFonts w:cs="Arial" w:ascii="Arial" w:hAnsi="Arial"/>
          <w:sz w:val="24"/>
          <w:szCs w:val="24"/>
        </w:rPr>
        <w:t>&gt;. Acesso em: 17 jun. 2015.</w:t>
      </w:r>
    </w:p>
    <w:p>
      <w:pPr>
        <w:pStyle w:val="Normal"/>
        <w:spacing w:before="120" w:after="120"/>
        <w:rPr/>
      </w:pPr>
      <w:r>
        <w:rPr>
          <w:rFonts w:eastAsia="SimSun" w:cs="Arial" w:ascii="Arial" w:hAnsi="Arial"/>
          <w:spacing w:val="-2"/>
          <w:sz w:val="24"/>
          <w:szCs w:val="24"/>
          <w:lang w:bidi="hi-IN"/>
        </w:rPr>
        <w:t xml:space="preserve">______. </w:t>
      </w:r>
      <w:r>
        <w:rPr>
          <w:rFonts w:eastAsia="SimSun" w:cs="Arial" w:ascii="Arial" w:hAnsi="Arial"/>
          <w:b/>
          <w:spacing w:val="-2"/>
          <w:sz w:val="24"/>
          <w:szCs w:val="24"/>
          <w:lang w:bidi="hi-IN"/>
        </w:rPr>
        <w:t>Deliberação 102/CIB/07</w:t>
      </w:r>
      <w:r>
        <w:rPr>
          <w:rFonts w:eastAsia="SimSun" w:cs="Arial" w:ascii="Arial" w:hAnsi="Arial"/>
          <w:spacing w:val="-2"/>
          <w:sz w:val="24"/>
          <w:szCs w:val="24"/>
          <w:lang w:bidi="hi-IN"/>
        </w:rPr>
        <w:t>,</w:t>
      </w:r>
      <w:r>
        <w:rPr>
          <w:rFonts w:eastAsia="SimSun" w:cs="Arial" w:ascii="Arial" w:hAnsi="Arial"/>
          <w:sz w:val="24"/>
          <w:szCs w:val="24"/>
          <w:lang w:bidi="hi-IN"/>
        </w:rPr>
        <w:t xml:space="preserve"> de 03 de julho de 2008. Manual Operativo de Atenção à Pessoa Portadora de Deficiência A</w:t>
      </w:r>
      <w:r>
        <w:rPr>
          <w:rFonts w:cs="Arial" w:ascii="Arial" w:hAnsi="Arial"/>
          <w:bCs/>
          <w:iCs/>
          <w:sz w:val="24"/>
          <w:szCs w:val="24"/>
        </w:rPr>
        <w:t>uditiva no Estado de Santa Catarina. [documento internet] 2008. Disponível em: &lt;</w:t>
      </w:r>
      <w:hyperlink r:id="rId25">
        <w:r>
          <w:rPr>
            <w:webHidden/>
            <w:rStyle w:val="LinkdaInternet"/>
            <w:rFonts w:cs="Arial" w:ascii="Arial" w:hAnsi="Arial"/>
            <w:bCs/>
            <w:iCs/>
            <w:vanish/>
            <w:color w:val="00000A"/>
            <w:sz w:val="24"/>
            <w:szCs w:val="24"/>
            <w:u w:val="none"/>
          </w:rPr>
          <w:t>http://www.saude.sc.gov.br/conselhos_de_saude/CIB/</w:t>
        </w:r>
      </w:hyperlink>
      <w:r>
        <w:rPr>
          <w:rFonts w:cs="Arial" w:ascii="Arial" w:hAnsi="Arial"/>
          <w:bCs/>
          <w:iCs/>
          <w:sz w:val="24"/>
          <w:szCs w:val="24"/>
        </w:rPr>
        <w:t>&gt;. Acesso em: 17 jun. 2015.</w:t>
      </w:r>
    </w:p>
    <w:p>
      <w:pPr>
        <w:pStyle w:val="Normal"/>
        <w:spacing w:before="120" w:after="120"/>
        <w:rPr/>
      </w:pPr>
      <w:bookmarkStart w:id="86" w:name="__DdeLink__9838_41855624"/>
      <w:r>
        <w:rPr>
          <w:rFonts w:eastAsia="SimSun" w:cs="Arial" w:ascii="Arial" w:hAnsi="Arial"/>
          <w:iCs/>
          <w:spacing w:val="-2"/>
          <w:sz w:val="24"/>
          <w:szCs w:val="24"/>
          <w:shd w:fill="FFFFFF" w:val="clear"/>
          <w:lang w:bidi="hi-IN"/>
        </w:rPr>
        <w:t xml:space="preserve">______. </w:t>
      </w:r>
      <w:r>
        <w:rPr>
          <w:rFonts w:eastAsia="SimSun" w:cs="Arial" w:ascii="Arial" w:hAnsi="Arial"/>
          <w:b/>
          <w:iCs/>
          <w:spacing w:val="-2"/>
          <w:sz w:val="24"/>
          <w:szCs w:val="24"/>
          <w:shd w:fill="FFFFFF" w:val="clear"/>
          <w:lang w:bidi="hi-IN"/>
        </w:rPr>
        <w:t>Deliberação 348/CIB/12</w:t>
      </w:r>
      <w:bookmarkEnd w:id="86"/>
      <w:r>
        <w:rPr>
          <w:rFonts w:eastAsia="SimSun" w:cs="Arial" w:ascii="Arial" w:hAnsi="Arial"/>
          <w:iCs/>
          <w:spacing w:val="-2"/>
          <w:sz w:val="24"/>
          <w:szCs w:val="24"/>
          <w:shd w:fill="FFFFFF" w:val="clear"/>
          <w:lang w:bidi="hi-IN"/>
        </w:rPr>
        <w:t xml:space="preserve">, de 30 de agosto de 2012. </w:t>
      </w:r>
      <w:r>
        <w:rPr>
          <w:rFonts w:eastAsia="SimSun" w:cs="Arial" w:ascii="Arial" w:hAnsi="Arial"/>
          <w:bCs/>
          <w:iCs/>
          <w:spacing w:val="-2"/>
          <w:sz w:val="24"/>
          <w:szCs w:val="24"/>
          <w:shd w:fill="FFFFFF" w:val="clear"/>
          <w:lang w:bidi="hi-IN"/>
        </w:rPr>
        <w:t xml:space="preserve">Disponível em: </w:t>
      </w:r>
      <w:r>
        <w:rPr>
          <w:rFonts w:eastAsia="SimSun" w:cs="Arial" w:ascii="Arial" w:hAnsi="Arial"/>
          <w:bCs/>
          <w:iCs/>
          <w:color w:val="00000A"/>
          <w:spacing w:val="-2"/>
          <w:sz w:val="24"/>
          <w:szCs w:val="24"/>
          <w:shd w:fill="FFFFFF" w:val="clear"/>
          <w:lang w:bidi="hi-IN"/>
        </w:rPr>
        <w:t>&lt;</w:t>
      </w:r>
      <w:r>
        <w:fldChar w:fldCharType="begin"/>
      </w:r>
      <w:r>
        <w:instrText> HYPERLINK "http://portalses.saude.sc.gov.br/index.php?option=com_docman&amp;task=cat_view&amp;gid=747&amp;Itemid=128&amp;limitstart=150" \l "_blank"</w:instrText>
      </w:r>
      <w:r>
        <w:fldChar w:fldCharType="separate"/>
      </w:r>
      <w:r>
        <w:rPr>
          <w:rStyle w:val="LinkdaInternet"/>
          <w:rFonts w:cs="Arial" w:ascii="Arial" w:hAnsi="Arial"/>
          <w:color w:val="00000A"/>
          <w:sz w:val="24"/>
          <w:szCs w:val="24"/>
        </w:rPr>
        <w:t>http://portalses.saude.sc.gov.br/index.php?option=com_docman&amp;task=cat_view&amp;gid=747&amp;Itemid=128&amp;limitstart=150</w:t>
      </w:r>
      <w:r>
        <w:fldChar w:fldCharType="end"/>
      </w:r>
      <w:r>
        <w:rPr>
          <w:rFonts w:cs="Arial" w:ascii="Arial" w:hAnsi="Arial"/>
          <w:color w:val="00000A"/>
          <w:sz w:val="24"/>
          <w:szCs w:val="24"/>
        </w:rPr>
        <w:t xml:space="preserve"> </w:t>
      </w:r>
      <w:r>
        <w:rPr>
          <w:rFonts w:eastAsia="SimSun" w:cs="Arial" w:ascii="Arial" w:hAnsi="Arial"/>
          <w:bCs/>
          <w:iCs/>
          <w:color w:val="00000A"/>
          <w:spacing w:val="-2"/>
          <w:sz w:val="24"/>
          <w:szCs w:val="24"/>
          <w:shd w:fill="FFFFFF" w:val="clear"/>
          <w:lang w:bidi="hi-IN"/>
        </w:rPr>
        <w:t>&gt;.</w:t>
      </w:r>
      <w:r>
        <w:rPr>
          <w:rFonts w:eastAsia="SimSun" w:cs="Arial" w:ascii="Arial" w:hAnsi="Arial"/>
          <w:bCs/>
          <w:iCs/>
          <w:spacing w:val="-2"/>
          <w:sz w:val="24"/>
          <w:szCs w:val="24"/>
          <w:shd w:fill="FFFFFF" w:val="clear"/>
          <w:lang w:bidi="hi-IN"/>
        </w:rPr>
        <w:t xml:space="preserve"> Acesso em: 17 jun. 2015.</w:t>
      </w:r>
    </w:p>
    <w:p>
      <w:pPr>
        <w:pStyle w:val="Normal"/>
        <w:spacing w:before="120" w:after="120"/>
        <w:rPr>
          <w:rFonts w:ascii="Arial" w:hAnsi="Arial" w:eastAsia="SimSun" w:cs="Arial"/>
          <w:bCs/>
          <w:iCs/>
          <w:spacing w:val="-2"/>
          <w:sz w:val="24"/>
          <w:szCs w:val="24"/>
          <w:highlight w:val="white"/>
          <w:lang w:bidi="hi-IN"/>
        </w:rPr>
      </w:pPr>
      <w:r>
        <w:rPr>
          <w:rFonts w:eastAsia="SimSun" w:cs="Arial" w:ascii="Arial" w:hAnsi="Arial"/>
          <w:iCs/>
          <w:spacing w:val="-2"/>
          <w:sz w:val="24"/>
          <w:szCs w:val="24"/>
          <w:shd w:fill="FFFFFF" w:val="clear"/>
          <w:lang w:bidi="hi-IN"/>
        </w:rPr>
        <w:t xml:space="preserve">______. </w:t>
      </w:r>
      <w:r>
        <w:rPr>
          <w:rFonts w:eastAsia="SimSun" w:cs="Arial" w:ascii="Arial" w:hAnsi="Arial"/>
          <w:b/>
          <w:iCs/>
          <w:spacing w:val="-2"/>
          <w:sz w:val="24"/>
          <w:szCs w:val="24"/>
          <w:shd w:fill="FFFFFF" w:val="clear"/>
          <w:lang w:bidi="hi-IN"/>
        </w:rPr>
        <w:t xml:space="preserve">Deliberação 423/CIB/10, </w:t>
      </w:r>
      <w:r>
        <w:rPr>
          <w:rFonts w:eastAsia="SimSun" w:cs="Arial" w:ascii="Arial" w:hAnsi="Arial"/>
          <w:iCs/>
          <w:spacing w:val="-2"/>
          <w:sz w:val="24"/>
          <w:szCs w:val="24"/>
          <w:shd w:fill="FFFFFF" w:val="clear"/>
          <w:lang w:bidi="hi-IN"/>
        </w:rPr>
        <w:t xml:space="preserve">de 15 de outubro de 2010. </w:t>
      </w:r>
      <w:r>
        <w:rPr>
          <w:rFonts w:eastAsia="SimSun" w:cs="Arial" w:ascii="Arial" w:hAnsi="Arial"/>
          <w:bCs/>
          <w:iCs/>
          <w:spacing w:val="-2"/>
          <w:sz w:val="24"/>
          <w:szCs w:val="24"/>
          <w:shd w:fill="FFFFFF" w:val="clear"/>
          <w:lang w:bidi="hi-IN"/>
        </w:rPr>
        <w:t>Disponível em: &lt;http://portalses.saude.sc.gov.br/index.php option=com_content&amp;view=article&amp;id=3410%3Adeliberacoes-cib&amp;catid=1005&amp;Itemid=536&gt;. Acesso em: 17 jun. 2015.</w:t>
      </w:r>
    </w:p>
    <w:p>
      <w:pPr>
        <w:pStyle w:val="Normal"/>
        <w:rPr>
          <w:rFonts w:ascii="Arial" w:hAnsi="Arial" w:cs="Arial"/>
          <w:sz w:val="24"/>
          <w:szCs w:val="24"/>
        </w:rPr>
      </w:pPr>
      <w:r>
        <w:rPr>
          <w:rFonts w:cs="Arial" w:ascii="Arial" w:hAnsi="Arial"/>
          <w:b/>
          <w:sz w:val="24"/>
          <w:szCs w:val="24"/>
        </w:rPr>
        <w:t>Instrutivos de Reabilitação Auditiva, Física, Intelectual e Visual</w:t>
      </w:r>
      <w:r>
        <w:rPr>
          <w:rFonts w:cs="Arial" w:ascii="Arial" w:hAnsi="Arial"/>
          <w:sz w:val="24"/>
          <w:szCs w:val="24"/>
        </w:rPr>
        <w:t xml:space="preserve"> (CER e serviços habilitados em uma única modalidade). Saúde sem Limite, 2013.</w:t>
      </w:r>
    </w:p>
    <w:p>
      <w:pPr>
        <w:pStyle w:val="Normal"/>
        <w:rPr/>
      </w:pPr>
      <w:r>
        <w:rPr>
          <w:rFonts w:cs="Arial" w:ascii="Arial" w:hAnsi="Arial"/>
          <w:sz w:val="24"/>
          <w:szCs w:val="24"/>
        </w:rPr>
        <w:t xml:space="preserve">Disponível em:&lt; </w:t>
      </w:r>
      <w:hyperlink r:id="rId26">
        <w:r>
          <w:rPr>
            <w:webHidden/>
            <w:rStyle w:val="LinkdaInternet"/>
            <w:rFonts w:cs="Arial" w:ascii="Arial" w:hAnsi="Arial"/>
            <w:vanish/>
            <w:sz w:val="24"/>
            <w:szCs w:val="24"/>
          </w:rPr>
          <w:t>http://www.saude.ms.gov.br/controle/ShowFile.php?id=145293</w:t>
        </w:r>
      </w:hyperlink>
      <w:r>
        <w:rPr>
          <w:rFonts w:cs="Arial" w:ascii="Arial" w:hAnsi="Arial"/>
          <w:sz w:val="24"/>
          <w:szCs w:val="24"/>
        </w:rPr>
        <w:t xml:space="preserve">&gt;. </w:t>
      </w:r>
      <w:r>
        <w:rPr>
          <w:rFonts w:cs="Arial" w:ascii="Arial" w:hAnsi="Arial"/>
          <w:sz w:val="24"/>
          <w:szCs w:val="24"/>
          <w:lang w:val="en-US"/>
        </w:rPr>
        <w:t>Acesso em: 15 jun. 2015.</w:t>
      </w:r>
    </w:p>
    <w:p>
      <w:pPr>
        <w:pStyle w:val="Normal"/>
        <w:spacing w:before="120" w:after="120"/>
        <w:rPr/>
      </w:pPr>
      <w:r>
        <w:rPr>
          <w:rFonts w:cs="Arial" w:ascii="Arial" w:hAnsi="Arial"/>
          <w:sz w:val="24"/>
          <w:szCs w:val="24"/>
          <w:lang w:eastAsia="pt-BR"/>
        </w:rPr>
        <w:t xml:space="preserve">SANTA CATARINA. Secretaria de Estado da Saúde (SES). </w:t>
      </w:r>
      <w:r>
        <w:rPr>
          <w:rFonts w:cs="Arial" w:ascii="Arial" w:hAnsi="Arial"/>
          <w:b/>
          <w:sz w:val="24"/>
          <w:szCs w:val="24"/>
          <w:lang w:eastAsia="pt-BR"/>
        </w:rPr>
        <w:t>Plano Diretor de Regionalização: PDR 2008.</w:t>
      </w:r>
      <w:r>
        <w:rPr>
          <w:rFonts w:cs="Arial" w:ascii="Arial" w:hAnsi="Arial"/>
          <w:sz w:val="24"/>
          <w:szCs w:val="24"/>
          <w:lang w:eastAsia="pt-BR"/>
        </w:rPr>
        <w:t xml:space="preserve"> [recurso eletrônico] /Secretaria de Estado da Saúde. – Florianópolis: IOESC, 2008. Disponível em: </w:t>
      </w:r>
      <w:r>
        <w:rPr>
          <w:rFonts w:cs="Arial" w:ascii="Arial" w:hAnsi="Arial"/>
          <w:color w:val="00000A"/>
          <w:sz w:val="24"/>
          <w:szCs w:val="24"/>
          <w:u w:val="none"/>
          <w:lang w:eastAsia="pt-BR"/>
        </w:rPr>
        <w:t>http://www.saude.sc.gov.br/geral/planos/ PDR/PDR_2008_-_Aprovado.pdf</w:t>
      </w:r>
      <w:r>
        <w:rPr>
          <w:rFonts w:cs="Arial" w:ascii="Arial" w:hAnsi="Arial"/>
          <w:sz w:val="24"/>
          <w:szCs w:val="24"/>
          <w:lang w:eastAsia="pt-BR"/>
        </w:rPr>
        <w:t>. Acesso em: 17 jun. 2015.</w:t>
      </w:r>
    </w:p>
    <w:p>
      <w:pPr>
        <w:pStyle w:val="Normal"/>
        <w:spacing w:before="120" w:after="120"/>
        <w:rPr>
          <w:rFonts w:ascii="Arial" w:hAnsi="Arial" w:cs="Arial"/>
          <w:sz w:val="24"/>
          <w:szCs w:val="24"/>
        </w:rPr>
      </w:pPr>
      <w:r>
        <w:rPr>
          <w:rFonts w:cs="Arial" w:ascii="Arial" w:hAnsi="Arial"/>
          <w:sz w:val="24"/>
          <w:szCs w:val="24"/>
          <w:lang w:eastAsia="pt-BR"/>
        </w:rPr>
        <w:t>TEIXEIRA, Cleide Fernades. Estudo Avaliativo da Política de Atenção à Saúde Auditiva: Estudo de caso de Pernambuco. Tese. Fundação Oswaldo Cruz. Recife, 2007.</w:t>
      </w:r>
    </w:p>
    <w:p>
      <w:pPr>
        <w:pStyle w:val="Normal"/>
        <w:spacing w:lineRule="auto" w:line="360" w:before="120" w:after="120"/>
        <w:jc w:val="both"/>
        <w:rPr/>
      </w:pPr>
      <w:r>
        <w:rPr/>
      </w:r>
    </w:p>
    <w:p>
      <w:pPr>
        <w:sectPr>
          <w:type w:val="continuous"/>
          <w:pgSz w:w="11906" w:h="16838"/>
          <w:pgMar w:left="1701" w:right="1701" w:header="720" w:top="1417" w:footer="964" w:bottom="1931" w:gutter="0"/>
          <w:formProt w:val="false"/>
          <w:textDirection w:val="lrTb"/>
          <w:docGrid w:type="default" w:linePitch="360" w:charSpace="2047"/>
        </w:sectPr>
      </w:pPr>
    </w:p>
    <w:sectPr>
      <w:type w:val="continuous"/>
      <w:pgSz w:w="11906" w:h="16838"/>
      <w:pgMar w:left="1701" w:right="1701" w:header="720" w:top="1417" w:footer="964" w:bottom="1931" w:gutter="0"/>
      <w:pgNumType w:fmt="decimal"/>
      <w:formProt w:val="false"/>
      <w:textDirection w:val="lrTb"/>
      <w:docGrid w:type="default" w:linePitch="360" w:charSpace="20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Symbol">
    <w:charset w:val="00"/>
    <w:family w:val="roman"/>
    <w:pitch w:val="variable"/>
  </w:font>
  <w:font w:name="Arial">
    <w:charset w:val="00"/>
    <w:family w:val="roman"/>
    <w:pitch w:val="variable"/>
  </w:font>
  <w:font w:name="OpenSymbol">
    <w:altName w:val="Arial Unicode MS"/>
    <w:charset w:val="00"/>
    <w:family w:val="roman"/>
    <w:pitch w:val="variable"/>
  </w:font>
  <w:font w:name="Courier New">
    <w:charset w:val="00"/>
    <w:family w:val="roman"/>
    <w:pitch w:val="variable"/>
  </w:font>
  <w:font w:name="Wingdings">
    <w:charset w:val="00"/>
    <w:family w:val="roman"/>
    <w:pitch w:val="variable"/>
  </w:font>
  <w:font w:name="Liberation Sans">
    <w:altName w:val="Arial"/>
    <w:charset w:val="00"/>
    <w:family w:val="roman"/>
    <w:pitch w:val="variable"/>
  </w:font>
  <w:font w:name="Tahoma">
    <w:charset w:val="00"/>
    <w:family w:val="roman"/>
    <w:pitch w:val="variable"/>
  </w:font>
  <w:font w:name="Cambria">
    <w:charset w:val="00"/>
    <w:family w:val="roman"/>
    <w:pitch w:val="variable"/>
  </w:font>
  <w:font w:name="Calibri">
    <w:charset w:val="00"/>
    <w:family w:val="roman"/>
    <w:pitch w:val="variable"/>
  </w:font>
  <w:font w:name="Arial">
    <w:charset w:val="01"/>
    <w:family w:val="swiss"/>
    <w:pitch w:val="variable"/>
  </w:font>
  <w:font w:name="Roboto">
    <w:charset w:val="00"/>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ind w:right="360" w:hanging="0"/>
      <w:jc w:val="center"/>
      <w:rPr>
        <w:rFonts w:ascii="Arial" w:hAnsi="Arial" w:cs="Arial"/>
        <w:sz w:val="18"/>
        <w:szCs w:val="18"/>
      </w:rPr>
    </w:pPr>
    <w:r>
      <mc:AlternateContent>
        <mc:Choice Requires="wps">
          <w:drawing>
            <wp:anchor behindDoc="1" distT="0" distB="0" distL="0" distR="0" simplePos="0" locked="0" layoutInCell="1" allowOverlap="1" relativeHeight="73">
              <wp:simplePos x="0" y="0"/>
              <wp:positionH relativeFrom="margin">
                <wp:align>right</wp:align>
              </wp:positionH>
              <wp:positionV relativeFrom="paragraph">
                <wp:posOffset>635</wp:posOffset>
              </wp:positionV>
              <wp:extent cx="131445" cy="144780"/>
              <wp:effectExtent l="0" t="0" r="0" b="0"/>
              <wp:wrapTopAndBottom/>
              <wp:docPr id="3" name="Quadro1"/>
              <a:graphic xmlns:a="http://schemas.openxmlformats.org/drawingml/2006/main">
                <a:graphicData uri="http://schemas.microsoft.com/office/word/2010/wordprocessingShape">
                  <wps:wsp>
                    <wps:cNvSpPr/>
                    <wps:spPr>
                      <a:xfrm>
                        <a:off x="0" y="0"/>
                        <a:ext cx="130680" cy="144000"/>
                      </a:xfrm>
                      <a:prstGeom prst="rect">
                        <a:avLst/>
                      </a:prstGeom>
                      <a:noFill/>
                      <a:ln>
                        <a:noFill/>
                      </a:ln>
                    </wps:spPr>
                    <wps:style>
                      <a:lnRef idx="0"/>
                      <a:fillRef idx="0"/>
                      <a:effectRef idx="0"/>
                      <a:fontRef idx="minor"/>
                    </wps:style>
                    <wps:txbx>
                      <w:txbxContent>
                        <w:p>
                          <w:pPr>
                            <w:pStyle w:val="Rodap"/>
                            <w:rPr>
                              <w:color w:val="000000"/>
                            </w:rPr>
                          </w:pPr>
                          <w:r>
                            <w:rPr>
                              <w:color w:val="000000"/>
                            </w:rPr>
                            <w:fldChar w:fldCharType="begin"/>
                          </w:r>
                          <w:r>
                            <w:instrText> PAGE </w:instrText>
                          </w:r>
                          <w:r>
                            <w:fldChar w:fldCharType="separate"/>
                          </w:r>
                          <w:r>
                            <w:t>72</w:t>
                          </w:r>
                          <w:r>
                            <w:fldChar w:fldCharType="end"/>
                          </w:r>
                        </w:p>
                      </w:txbxContent>
                    </wps:txbx>
                    <wps:bodyPr lIns="0" rIns="0" tIns="0" bIns="0">
                      <a:spAutoFit/>
                    </wps:bodyPr>
                  </wps:wsp>
                </a:graphicData>
              </a:graphic>
            </wp:anchor>
          </w:drawing>
        </mc:Choice>
        <mc:Fallback>
          <w:pict>
            <v:rect id="shape_0" ID="Quadro1" stroked="f" style="position:absolute;margin-left:414.85pt;margin-top:0.05pt;width:10.25pt;height:11.3pt;mso-position-horizontal:right;mso-position-horizontal-relative:margin">
              <w10:wrap type="square"/>
              <v:fill o:detectmouseclick="t" on="false"/>
              <v:stroke color="#3465a4" joinstyle="round" endcap="flat"/>
              <v:textbox>
                <w:txbxContent>
                  <w:p>
                    <w:pPr>
                      <w:pStyle w:val="Rodap"/>
                      <w:rPr>
                        <w:color w:val="000000"/>
                      </w:rPr>
                    </w:pPr>
                    <w:r>
                      <w:rPr>
                        <w:color w:val="000000"/>
                      </w:rPr>
                      <w:fldChar w:fldCharType="begin"/>
                    </w:r>
                    <w:r>
                      <w:instrText> PAGE </w:instrText>
                    </w:r>
                    <w:r>
                      <w:fldChar w:fldCharType="separate"/>
                    </w:r>
                    <w:r>
                      <w:t>72</w:t>
                    </w:r>
                    <w:r>
                      <w:fldChar w:fldCharType="end"/>
                    </w:r>
                  </w:p>
                </w:txbxContent>
              </v:textbox>
            </v:rect>
          </w:pict>
        </mc:Fallback>
      </mc:AlternateContent>
    </w:r>
    <w:r>
      <w:rPr>
        <w:rFonts w:cs="Arial" w:ascii="Arial" w:hAnsi="Arial"/>
        <w:sz w:val="18"/>
        <w:szCs w:val="18"/>
      </w:rPr>
      <w:t>Diretrizes de Atenção à Saúde Auditiva na Rede de Cuidados à Saúde da Pessoa com Deficiência em Santa Catarina</w:t>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Rodap"/>
      <w:ind w:right="360" w:hanging="0"/>
      <w:rPr>
        <w:lang w:val="en-US"/>
      </w:rPr>
    </w:pPr>
    <w:r>
      <w:rPr>
        <w:lang w:val="en-US"/>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jc w:val="center"/>
      <w:rPr>
        <w:rFonts w:ascii="Arial" w:hAnsi="Arial" w:cs="Arial"/>
        <w:sz w:val="18"/>
        <w:szCs w:val="18"/>
      </w:rPr>
    </w:pPr>
    <w:r>
      <w:rPr>
        <w:rFonts w:cs="Arial" w:ascii="Arial" w:hAnsi="Arial"/>
        <w:sz w:val="18"/>
        <w:szCs w:val="18"/>
      </w:rPr>
      <w:t>ESTADO DE SANTA CATARINA</w:t>
    </w:r>
  </w:p>
  <w:p>
    <w:pPr>
      <w:pStyle w:val="Normal"/>
      <w:jc w:val="center"/>
      <w:rPr>
        <w:rFonts w:ascii="Arial" w:hAnsi="Arial" w:cs="Arial"/>
        <w:sz w:val="18"/>
        <w:szCs w:val="18"/>
      </w:rPr>
    </w:pPr>
    <w:r>
      <w:rPr>
        <w:rFonts w:cs="Arial" w:ascii="Arial" w:hAnsi="Arial"/>
        <w:sz w:val="18"/>
        <w:szCs w:val="18"/>
      </w:rPr>
      <w:t>SECRETARIA DE ESTADO DA SAÚDE</w:t>
    </w:r>
  </w:p>
  <w:p>
    <w:pPr>
      <w:pStyle w:val="Normal"/>
      <w:jc w:val="center"/>
      <w:rPr>
        <w:rFonts w:ascii="Arial" w:hAnsi="Arial" w:eastAsia="Liberation Serif" w:cs="Arial"/>
        <w:sz w:val="18"/>
        <w:szCs w:val="18"/>
      </w:rPr>
    </w:pPr>
    <w:r>
      <w:rPr>
        <w:rFonts w:eastAsia="Liberation Serif" w:cs="Arial" w:ascii="Arial" w:hAnsi="Arial"/>
        <w:sz w:val="18"/>
        <w:szCs w:val="18"/>
      </w:rPr>
      <w:t>ÁREA TÉCNICA DA SAÚDE DA PESSOA COM DEFICIÊNCIA</w:t>
    </w:r>
  </w:p>
  <w:p>
    <w:pPr>
      <w:pStyle w:val="Normal"/>
      <w:jc w:val="center"/>
      <w:rPr>
        <w:rFonts w:ascii="Arial" w:hAnsi="Arial" w:cs="Arial"/>
        <w:b/>
        <w:b/>
        <w:sz w:val="48"/>
        <w:szCs w:val="48"/>
      </w:rPr>
    </w:pPr>
    <w:r>
      <w:rPr>
        <w:rFonts w:eastAsia="Liberation Serif" w:cs="Arial" w:ascii="Arial" w:hAnsi="Arial"/>
        <w:sz w:val="18"/>
        <w:szCs w:val="18"/>
      </w:rPr>
      <w:t>SERVIÇO DE SAÚDE AUDITIVA</w:t>
    </w:r>
  </w:p>
  <w:p>
    <w:pPr>
      <w:pStyle w:val="Cabealho"/>
      <w:rPr/>
    </w:pPr>
    <w:r>
      <w:rPr/>
    </w:r>
  </w:p>
  <w:p>
    <w:pPr>
      <w:pStyle w:val="Cabealho"/>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alho"/>
      <w:rPr/>
    </w:pPr>
    <w:r>
      <w:rPr/>
    </w:r>
  </w:p>
  <w:p>
    <w:pPr>
      <w:pStyle w:val="Cabealho"/>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Ttulo1"/>
      <w:numFmt w:val="none"/>
      <w:suff w:val="nothing"/>
      <w:lvlText w:val=""/>
      <w:lvlJc w:val="left"/>
      <w:pPr>
        <w:ind w:left="432" w:hanging="432"/>
      </w:pPr>
    </w:lvl>
    <w:lvl w:ilvl="1">
      <w:start w:val="1"/>
      <w:numFmt w:val="none"/>
      <w:suff w:val="nothing"/>
      <w:lvlText w:val=""/>
      <w:lvlJc w:val="left"/>
      <w:pPr>
        <w:ind w:left="0" w:hanging="0"/>
      </w:pPr>
    </w:lvl>
    <w:lvl w:ilvl="2">
      <w:start w:val="1"/>
      <w:pStyle w:val="Ttulo3"/>
      <w:numFmt w:val="none"/>
      <w:suff w:val="nothing"/>
      <w:lvlText w:val=""/>
      <w:lvlJc w:val="left"/>
      <w:pPr>
        <w:ind w:left="720" w:hanging="720"/>
      </w:pPr>
    </w:lvl>
    <w:lvl w:ilvl="3">
      <w:start w:val="1"/>
      <w:pStyle w:val="Ttulo4"/>
      <w:numFmt w:val="none"/>
      <w:suff w:val="nothing"/>
      <w:lvlText w:val=""/>
      <w:lvlJc w:val="left"/>
      <w:pPr>
        <w:ind w:left="864" w:hanging="864"/>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none"/>
      <w:suff w:val="nothing"/>
      <w:lvlText w:val=""/>
      <w:lvlJc w:val="left"/>
      <w:pPr>
        <w:ind w:left="432" w:hanging="432"/>
      </w:pPr>
    </w:lvl>
    <w:lvl w:ilvl="1">
      <w:start w:val="1"/>
      <w:numFmt w:val="none"/>
      <w:suff w:val="nothing"/>
      <w:lvlText w:val=""/>
      <w:lvlJc w:val="left"/>
      <w:pPr>
        <w:ind w:left="0" w:hanging="0"/>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3">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lvl w:ilvl="0">
      <w:start w:val="1"/>
      <w:numFmt w:val="bullet"/>
      <w:lvlText w:val=""/>
      <w:lvlJc w:val="left"/>
      <w:pPr>
        <w:ind w:left="720" w:hanging="360"/>
      </w:pPr>
      <w:rPr>
        <w:rFonts w:ascii="Symbol" w:hAnsi="Symbol" w:cs="Symbol" w:hint="default"/>
        <w:sz w:val="24"/>
        <w:b w:val="false"/>
        <w:szCs w:val="24"/>
        <w:highlight w:val="white"/>
        <w:rFonts w:cs="Symbol"/>
        <w:color w:val="000000"/>
        <w:lang w:val="en-US" w:eastAsia="en-US" w:bidi="hi-I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1"/>
      <w:numFmt w:val="upperRoman"/>
      <w:lvlText w:val="%1-"/>
      <w:lvlJc w:val="left"/>
      <w:pPr>
        <w:ind w:left="1080" w:hanging="720"/>
      </w:pPr>
      <w:rPr>
        <w:sz w:val="24"/>
        <w:szCs w:val="24"/>
        <w:rFonts w:ascii="Arial" w:hAnsi="Arial" w:eastAsia="SimSun" w:cs="Arial"/>
        <w:lang w:bidi="hi-I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7">
    <w:lvl w:ilvl="0">
      <w:start w:val="1"/>
      <w:numFmt w:val="upperRoman"/>
      <w:lvlText w:val="%1-"/>
      <w:lvlJc w:val="left"/>
      <w:pPr>
        <w:ind w:left="1080" w:hanging="720"/>
      </w:pPr>
      <w:rPr>
        <w:sz w:val="24"/>
        <w:szCs w:val="24"/>
        <w:rFonts w:ascii="Arial" w:hAnsi="Arial" w:eastAsia="SimSun" w:cs="Arial"/>
        <w:lang w:bidi="hi-I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lvl w:ilvl="0">
      <w:start w:val="1"/>
      <w:numFmt w:val="upperRoman"/>
      <w:lvlText w:val="%1-"/>
      <w:lvlJc w:val="left"/>
      <w:pPr>
        <w:ind w:left="1080" w:hanging="720"/>
      </w:pPr>
      <w:rPr>
        <w:sz w:val="24"/>
        <w:rFonts w:ascii="Arial" w:hAnsi="Arial" w:eastAsia="SimSun" w:cs="Aria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lvl w:ilvl="0">
      <w:start w:val="1"/>
      <w:numFmt w:val="lowerLetter"/>
      <w:lvlText w:val="%1."/>
      <w:lvlJc w:val="left"/>
      <w:pPr>
        <w:ind w:left="720" w:hanging="360"/>
      </w:pPr>
      <w:rPr>
        <w:sz w:val="24"/>
        <w:rFonts w:ascii="Arial" w:hAnsi="Arial" w:eastAsia="Times New Roman" w:cs="Arial"/>
      </w:rPr>
    </w:lvl>
    <w:lvl w:ilvl="1">
      <w:start w:val="1"/>
      <w:numFmt w:val="lowerLetter"/>
      <w:lvlText w:val="%2."/>
      <w:lvlJc w:val="left"/>
      <w:pPr>
        <w:ind w:left="1440" w:hanging="360"/>
      </w:pPr>
    </w:lvl>
    <w:lvl w:ilvl="2">
      <w:start w:val="1"/>
      <w:numFmt w:val="upperRoman"/>
      <w:lvlText w:val="%3-"/>
      <w:lvlJc w:val="left"/>
      <w:pPr>
        <w:ind w:left="2700" w:hanging="720"/>
      </w:pPr>
      <w:rPr>
        <w:sz w:val="24"/>
        <w:b/>
        <w:rFonts w:cs="Arial"/>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11">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12">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13">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14">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15">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sz w:val="24"/>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16">
    <w:lvl w:ilvl="0">
      <w:start w:val="1"/>
      <w:numFmt w:val="bullet"/>
      <w:lvlText w:val=""/>
      <w:lvlJc w:val="left"/>
      <w:pPr>
        <w:ind w:left="720" w:hanging="360"/>
      </w:pPr>
      <w:rPr>
        <w:rFonts w:ascii="Symbol" w:hAnsi="Symbol" w:cs="Symbol" w:hint="default"/>
        <w:sz w:val="24"/>
        <w:b/>
        <w:rFonts w:cs="Symbol"/>
      </w:rPr>
    </w:lvl>
    <w:lvl w:ilvl="1">
      <w:start w:val="1"/>
      <w:numFmt w:val="bullet"/>
      <w:lvlText w:val="o"/>
      <w:lvlJc w:val="left"/>
      <w:pPr>
        <w:ind w:left="1440" w:hanging="360"/>
      </w:pPr>
      <w:rPr>
        <w:rFonts w:ascii="Courier New" w:hAnsi="Courier New" w:cs="Courier New" w:hint="default"/>
        <w:sz w:val="24"/>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17">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18">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19">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0">
    <w:lvl w:ilvl="0">
      <w:start w:val="1"/>
      <w:numFmt w:val="bullet"/>
      <w:lvlText w:val=""/>
      <w:lvlJc w:val="left"/>
      <w:pPr>
        <w:ind w:left="720" w:hanging="360"/>
      </w:pPr>
      <w:rPr>
        <w:rFonts w:ascii="Symbol" w:hAnsi="Symbol" w:cs="Symbol" w:hint="default"/>
        <w:sz w:val="24"/>
        <w:b/>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1">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2">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3">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4">
    <w:lvl w:ilvl="0">
      <w:start w:val="1"/>
      <w:numFmt w:val="bullet"/>
      <w:lvlText w:val=""/>
      <w:lvlJc w:val="left"/>
      <w:pPr>
        <w:ind w:left="720" w:hanging="360"/>
      </w:pPr>
      <w:rPr>
        <w:rFonts w:ascii="Symbol" w:hAnsi="Symbol" w:cs="Symbol" w:hint="default"/>
        <w:sz w:val="24"/>
        <w:b/>
        <w:rFonts w:cs="Symbol"/>
      </w:rPr>
    </w:lvl>
    <w:lvl w:ilvl="1">
      <w:start w:val="1"/>
      <w:numFmt w:val="bullet"/>
      <w:lvlText w:val="o"/>
      <w:lvlJc w:val="left"/>
      <w:pPr>
        <w:ind w:left="1440" w:hanging="360"/>
      </w:pPr>
      <w:rPr>
        <w:rFonts w:ascii="Courier New" w:hAnsi="Courier New" w:cs="Courier New" w:hint="default"/>
        <w:sz w:val="24"/>
        <w:b/>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sz w:val="24"/>
        <w:b/>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5">
    <w:lvl w:ilvl="0">
      <w:start w:val="1"/>
      <w:numFmt w:val="bullet"/>
      <w:lvlText w:val=""/>
      <w:lvlJc w:val="left"/>
      <w:pPr>
        <w:ind w:left="720" w:hanging="360"/>
      </w:pPr>
      <w:rPr>
        <w:rFonts w:ascii="Symbol" w:hAnsi="Symbol" w:cs="Symbol" w:hint="default"/>
        <w:sz w:val="24"/>
        <w:b/>
        <w:rFonts w:cs="Symbol"/>
      </w:rPr>
    </w:lvl>
    <w:lvl w:ilvl="1">
      <w:start w:val="1"/>
      <w:numFmt w:val="bullet"/>
      <w:lvlText w:val="o"/>
      <w:lvlJc w:val="left"/>
      <w:pPr>
        <w:ind w:left="1440" w:hanging="360"/>
      </w:pPr>
      <w:rPr>
        <w:rFonts w:ascii="Courier New" w:hAnsi="Courier New" w:cs="Courier New" w:hint="default"/>
        <w:sz w:val="24"/>
        <w:b/>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6">
    <w:lvl w:ilvl="0">
      <w:start w:val="1"/>
      <w:numFmt w:val="bullet"/>
      <w:lvlText w:val=""/>
      <w:lvlJc w:val="left"/>
      <w:pPr>
        <w:ind w:left="720" w:hanging="360"/>
      </w:pPr>
      <w:rPr>
        <w:rFonts w:ascii="Symbol" w:hAnsi="Symbol" w:cs="Symbol" w:hint="default"/>
        <w:sz w:val="24"/>
        <w:b/>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7">
    <w:lvl w:ilvl="0">
      <w:start w:val="1"/>
      <w:numFmt w:val="bullet"/>
      <w:lvlText w:val=""/>
      <w:lvlJc w:val="left"/>
      <w:pPr>
        <w:ind w:left="720" w:hanging="360"/>
      </w:pPr>
      <w:rPr>
        <w:rFonts w:ascii="Symbol" w:hAnsi="Symbol" w:cs="Symbol" w:hint="default"/>
        <w:sz w:val="24"/>
        <w:b/>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8">
    <w:lvl w:ilvl="0">
      <w:start w:val="1"/>
      <w:numFmt w:val="bullet"/>
      <w:lvlText w:val=""/>
      <w:lvlJc w:val="left"/>
      <w:pPr>
        <w:ind w:left="720" w:hanging="360"/>
      </w:pPr>
      <w:rPr>
        <w:rFonts w:ascii="Symbol" w:hAnsi="Symbol" w:cs="Symbol" w:hint="default"/>
        <w:sz w:val="24"/>
        <w:b/>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29">
    <w:lvl w:ilvl="0">
      <w:start w:val="1"/>
      <w:numFmt w:val="upperRoman"/>
      <w:lvlText w:val="%1."/>
      <w:lvlJc w:val="right"/>
      <w:pPr>
        <w:ind w:left="720" w:hanging="360"/>
      </w:pPr>
    </w:lvl>
    <w:lvl w:ilvl="1">
      <w:start w:val="1"/>
      <w:numFmt w:val="upperRoman"/>
      <w:lvlText w:val="%2."/>
      <w:lvlJc w:val="left"/>
      <w:pPr>
        <w:ind w:left="1800" w:hanging="72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lvl w:ilvl="0">
      <w:start w:val="1"/>
      <w:numFmt w:val="upperRoman"/>
      <w:lvlText w:val="%1."/>
      <w:lvlJc w:val="right"/>
      <w:pPr>
        <w:ind w:left="1457" w:hanging="360"/>
      </w:pPr>
      <w:rPr>
        <w:sz w:val="24"/>
        <w:b/>
        <w:rFonts w:ascii="Arial" w:hAnsi="Arial" w:eastAsia="SimSun" w:cs="Arial"/>
      </w:rPr>
    </w:lvl>
    <w:lvl w:ilvl="1">
      <w:start w:val="1"/>
      <w:numFmt w:val="lowerLetter"/>
      <w:lvlText w:val="%2."/>
      <w:lvlJc w:val="left"/>
      <w:pPr>
        <w:ind w:left="2177" w:hanging="360"/>
      </w:pPr>
    </w:lvl>
    <w:lvl w:ilvl="2">
      <w:start w:val="1"/>
      <w:numFmt w:val="lowerRoman"/>
      <w:lvlText w:val="%3."/>
      <w:lvlJc w:val="right"/>
      <w:pPr>
        <w:ind w:left="2897" w:hanging="180"/>
      </w:pPr>
    </w:lvl>
    <w:lvl w:ilvl="3">
      <w:start w:val="1"/>
      <w:numFmt w:val="decimal"/>
      <w:lvlText w:val="%4."/>
      <w:lvlJc w:val="left"/>
      <w:pPr>
        <w:ind w:left="3617" w:hanging="360"/>
      </w:pPr>
    </w:lvl>
    <w:lvl w:ilvl="4">
      <w:start w:val="1"/>
      <w:numFmt w:val="lowerLetter"/>
      <w:lvlText w:val="%5."/>
      <w:lvlJc w:val="left"/>
      <w:pPr>
        <w:ind w:left="4337" w:hanging="360"/>
      </w:pPr>
    </w:lvl>
    <w:lvl w:ilvl="5">
      <w:start w:val="1"/>
      <w:numFmt w:val="lowerRoman"/>
      <w:lvlText w:val="%6."/>
      <w:lvlJc w:val="right"/>
      <w:pPr>
        <w:ind w:left="5057" w:hanging="180"/>
      </w:pPr>
    </w:lvl>
    <w:lvl w:ilvl="6">
      <w:start w:val="1"/>
      <w:numFmt w:val="decimal"/>
      <w:lvlText w:val="%7."/>
      <w:lvlJc w:val="left"/>
      <w:pPr>
        <w:ind w:left="5777" w:hanging="360"/>
      </w:pPr>
    </w:lvl>
    <w:lvl w:ilvl="7">
      <w:start w:val="1"/>
      <w:numFmt w:val="lowerLetter"/>
      <w:lvlText w:val="%8."/>
      <w:lvlJc w:val="left"/>
      <w:pPr>
        <w:ind w:left="6497" w:hanging="360"/>
      </w:pPr>
    </w:lvl>
    <w:lvl w:ilvl="8">
      <w:start w:val="1"/>
      <w:numFmt w:val="lowerRoman"/>
      <w:lvlText w:val="%9."/>
      <w:lvlJc w:val="right"/>
      <w:pPr>
        <w:ind w:left="7217" w:hanging="180"/>
      </w:pPr>
    </w:lvl>
  </w:abstractNum>
  <w:abstractNum w:abstractNumId="31">
    <w:lvl w:ilvl="0">
      <w:start w:val="1"/>
      <w:numFmt w:val="upperRoman"/>
      <w:lvlText w:val="%1."/>
      <w:lvlJc w:val="right"/>
      <w:pPr>
        <w:ind w:left="1457" w:hanging="360"/>
      </w:pPr>
      <w:rPr>
        <w:sz w:val="24"/>
        <w:rFonts w:ascii="Arial" w:hAnsi="Arial" w:eastAsia="Times New Roman" w:cs="Arial"/>
      </w:rPr>
    </w:lvl>
    <w:lvl w:ilvl="1">
      <w:start w:val="1"/>
      <w:numFmt w:val="lowerLetter"/>
      <w:lvlText w:val="%2."/>
      <w:lvlJc w:val="left"/>
      <w:pPr>
        <w:ind w:left="2177" w:hanging="360"/>
      </w:pPr>
    </w:lvl>
    <w:lvl w:ilvl="2">
      <w:start w:val="1"/>
      <w:numFmt w:val="lowerRoman"/>
      <w:lvlText w:val="%3."/>
      <w:lvlJc w:val="right"/>
      <w:pPr>
        <w:ind w:left="2897" w:hanging="180"/>
      </w:pPr>
    </w:lvl>
    <w:lvl w:ilvl="3">
      <w:start w:val="1"/>
      <w:numFmt w:val="decimal"/>
      <w:lvlText w:val="%4."/>
      <w:lvlJc w:val="left"/>
      <w:pPr>
        <w:ind w:left="3617" w:hanging="360"/>
      </w:pPr>
    </w:lvl>
    <w:lvl w:ilvl="4">
      <w:start w:val="1"/>
      <w:numFmt w:val="lowerLetter"/>
      <w:lvlText w:val="%5."/>
      <w:lvlJc w:val="left"/>
      <w:pPr>
        <w:ind w:left="4337" w:hanging="360"/>
      </w:pPr>
    </w:lvl>
    <w:lvl w:ilvl="5">
      <w:start w:val="1"/>
      <w:numFmt w:val="lowerRoman"/>
      <w:lvlText w:val="%6."/>
      <w:lvlJc w:val="right"/>
      <w:pPr>
        <w:ind w:left="5057" w:hanging="180"/>
      </w:pPr>
    </w:lvl>
    <w:lvl w:ilvl="6">
      <w:start w:val="1"/>
      <w:numFmt w:val="decimal"/>
      <w:lvlText w:val="%7."/>
      <w:lvlJc w:val="left"/>
      <w:pPr>
        <w:ind w:left="5777" w:hanging="360"/>
      </w:pPr>
    </w:lvl>
    <w:lvl w:ilvl="7">
      <w:start w:val="1"/>
      <w:numFmt w:val="lowerLetter"/>
      <w:lvlText w:val="%8."/>
      <w:lvlJc w:val="left"/>
      <w:pPr>
        <w:ind w:left="6497" w:hanging="360"/>
      </w:pPr>
    </w:lvl>
    <w:lvl w:ilvl="8">
      <w:start w:val="1"/>
      <w:numFmt w:val="lowerRoman"/>
      <w:lvlText w:val="%9."/>
      <w:lvlJc w:val="right"/>
      <w:pPr>
        <w:ind w:left="7217" w:hanging="180"/>
      </w:pPr>
    </w:lvl>
  </w:abstractNum>
  <w:abstractNum w:abstractNumId="32">
    <w:lvl w:ilvl="0">
      <w:start w:val="1"/>
      <w:numFmt w:val="upperRoman"/>
      <w:lvlText w:val="%1."/>
      <w:lvlJc w:val="righ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3">
    <w:lvl w:ilvl="0">
      <w:start w:val="1"/>
      <w:numFmt w:val="lowerLetter"/>
      <w:lvlText w:val="%1."/>
      <w:lvlJc w:val="left"/>
      <w:pPr>
        <w:ind w:left="1440" w:hanging="360"/>
      </w:pPr>
      <w:rPr>
        <w:sz w:val="24"/>
        <w:rFonts w:ascii="Arial" w:hAnsi="Arial" w:eastAsia="Times New Roman" w:cs="Arial"/>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4">
    <w:lvl w:ilvl="0">
      <w:start w:val="1"/>
      <w:numFmt w:val="lowerLetter"/>
      <w:lvlText w:val="%1."/>
      <w:lvlJc w:val="left"/>
      <w:pPr>
        <w:ind w:left="1211" w:hanging="360"/>
      </w:pPr>
      <w:rPr>
        <w:sz w:val="24"/>
        <w:rFonts w:ascii="Arial" w:hAnsi="Arial" w:eastAsia="Times New Roman" w:cs="Arial"/>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35">
    <w:lvl w:ilvl="0">
      <w:start w:val="1"/>
      <w:numFmt w:val="bullet"/>
      <w:lvlText w:val=""/>
      <w:lvlJc w:val="left"/>
      <w:pPr>
        <w:ind w:left="720" w:hanging="360"/>
      </w:pPr>
      <w:rPr>
        <w:rFonts w:ascii="Symbol" w:hAnsi="Symbol" w:cs="Symbol" w:hint="default"/>
        <w:sz w:val="24"/>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36">
    <w:lvl w:ilvl="0">
      <w:start w:val="1"/>
      <w:numFmt w:val="upperRoman"/>
      <w:lvlText w:val="%1."/>
      <w:lvlJc w:val="right"/>
      <w:pPr>
        <w:ind w:left="720" w:hanging="360"/>
      </w:pPr>
      <w:rPr>
        <w:sz w:val="24"/>
        <w:rFonts w:ascii="Arial" w:hAnsi="Arial" w:eastAsia="Times New Roman"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lvl w:ilvl="0">
      <w:start w:val="1"/>
      <w:numFmt w:val="upperRoman"/>
      <w:lvlText w:val="%1."/>
      <w:lvlJc w:val="right"/>
      <w:pPr>
        <w:ind w:left="1457" w:hanging="360"/>
      </w:pPr>
      <w:rPr>
        <w:sz w:val="24"/>
        <w:rFonts w:ascii="Arial" w:hAnsi="Arial" w:eastAsia="Times New Roman" w:cs="Arial"/>
      </w:rPr>
    </w:lvl>
    <w:lvl w:ilvl="1">
      <w:start w:val="1"/>
      <w:numFmt w:val="lowerLetter"/>
      <w:lvlText w:val="%2."/>
      <w:lvlJc w:val="left"/>
      <w:pPr>
        <w:ind w:left="2177" w:hanging="360"/>
      </w:pPr>
    </w:lvl>
    <w:lvl w:ilvl="2">
      <w:start w:val="1"/>
      <w:numFmt w:val="lowerRoman"/>
      <w:lvlText w:val="%3."/>
      <w:lvlJc w:val="right"/>
      <w:pPr>
        <w:ind w:left="2897" w:hanging="180"/>
      </w:pPr>
    </w:lvl>
    <w:lvl w:ilvl="3">
      <w:start w:val="1"/>
      <w:numFmt w:val="decimal"/>
      <w:lvlText w:val="%4."/>
      <w:lvlJc w:val="left"/>
      <w:pPr>
        <w:ind w:left="3617" w:hanging="360"/>
      </w:pPr>
    </w:lvl>
    <w:lvl w:ilvl="4">
      <w:start w:val="1"/>
      <w:numFmt w:val="lowerLetter"/>
      <w:lvlText w:val="%5."/>
      <w:lvlJc w:val="left"/>
      <w:pPr>
        <w:ind w:left="4337" w:hanging="360"/>
      </w:pPr>
    </w:lvl>
    <w:lvl w:ilvl="5">
      <w:start w:val="1"/>
      <w:numFmt w:val="lowerRoman"/>
      <w:lvlText w:val="%6."/>
      <w:lvlJc w:val="right"/>
      <w:pPr>
        <w:ind w:left="5057" w:hanging="180"/>
      </w:pPr>
    </w:lvl>
    <w:lvl w:ilvl="6">
      <w:start w:val="1"/>
      <w:numFmt w:val="decimal"/>
      <w:lvlText w:val="%7."/>
      <w:lvlJc w:val="left"/>
      <w:pPr>
        <w:ind w:left="5777" w:hanging="360"/>
      </w:pPr>
    </w:lvl>
    <w:lvl w:ilvl="7">
      <w:start w:val="1"/>
      <w:numFmt w:val="lowerLetter"/>
      <w:lvlText w:val="%8."/>
      <w:lvlJc w:val="left"/>
      <w:pPr>
        <w:ind w:left="6497" w:hanging="360"/>
      </w:pPr>
    </w:lvl>
    <w:lvl w:ilvl="8">
      <w:start w:val="1"/>
      <w:numFmt w:val="lowerRoman"/>
      <w:lvlText w:val="%9."/>
      <w:lvlJc w:val="right"/>
      <w:pPr>
        <w:ind w:left="7217" w:hanging="180"/>
      </w:pPr>
    </w:lvl>
  </w:abstractNum>
  <w:abstractNum w:abstractNumId="38">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9">
    <w:lvl w:ilvl="0">
      <w:start w:val="1"/>
      <w:numFmt w:val="upperRoman"/>
      <w:lvlText w:val="%1."/>
      <w:lvlJc w:val="right"/>
      <w:pPr>
        <w:ind w:left="1400" w:hanging="360"/>
      </w:pPr>
      <w:rPr>
        <w:sz w:val="24"/>
        <w:rFonts w:ascii="Arial" w:hAnsi="Arial" w:eastAsia="Times New Roman" w:cs="Arial"/>
      </w:rPr>
    </w:lvl>
    <w:lvl w:ilvl="1">
      <w:start w:val="1"/>
      <w:numFmt w:val="lowerLetter"/>
      <w:lvlText w:val="%2."/>
      <w:lvlJc w:val="left"/>
      <w:pPr>
        <w:ind w:left="2120" w:hanging="360"/>
      </w:pPr>
    </w:lvl>
    <w:lvl w:ilvl="2">
      <w:start w:val="1"/>
      <w:numFmt w:val="lowerRoman"/>
      <w:lvlText w:val="%3."/>
      <w:lvlJc w:val="right"/>
      <w:pPr>
        <w:ind w:left="2840" w:hanging="180"/>
      </w:pPr>
    </w:lvl>
    <w:lvl w:ilvl="3">
      <w:start w:val="1"/>
      <w:numFmt w:val="decimal"/>
      <w:lvlText w:val="%4."/>
      <w:lvlJc w:val="left"/>
      <w:pPr>
        <w:ind w:left="3560" w:hanging="360"/>
      </w:pPr>
    </w:lvl>
    <w:lvl w:ilvl="4">
      <w:start w:val="1"/>
      <w:numFmt w:val="lowerLetter"/>
      <w:lvlText w:val="%5."/>
      <w:lvlJc w:val="left"/>
      <w:pPr>
        <w:ind w:left="4280" w:hanging="360"/>
      </w:pPr>
    </w:lvl>
    <w:lvl w:ilvl="5">
      <w:start w:val="1"/>
      <w:numFmt w:val="lowerRoman"/>
      <w:lvlText w:val="%6."/>
      <w:lvlJc w:val="right"/>
      <w:pPr>
        <w:ind w:left="5000" w:hanging="180"/>
      </w:pPr>
    </w:lvl>
    <w:lvl w:ilvl="6">
      <w:start w:val="1"/>
      <w:numFmt w:val="decimal"/>
      <w:lvlText w:val="%7."/>
      <w:lvlJc w:val="left"/>
      <w:pPr>
        <w:ind w:left="5720" w:hanging="360"/>
      </w:pPr>
    </w:lvl>
    <w:lvl w:ilvl="7">
      <w:start w:val="1"/>
      <w:numFmt w:val="lowerLetter"/>
      <w:lvlText w:val="%8."/>
      <w:lvlJc w:val="left"/>
      <w:pPr>
        <w:ind w:left="6440" w:hanging="360"/>
      </w:pPr>
    </w:lvl>
    <w:lvl w:ilvl="8">
      <w:start w:val="1"/>
      <w:numFmt w:val="lowerRoman"/>
      <w:lvlText w:val="%9."/>
      <w:lvlJc w:val="right"/>
      <w:pPr>
        <w:ind w:left="7160" w:hanging="180"/>
      </w:pPr>
    </w:lvl>
  </w:abstractNum>
  <w:abstractNum w:abstractNumId="40">
    <w:lvl w:ilvl="0">
      <w:start w:val="1"/>
      <w:numFmt w:val="upperRoman"/>
      <w:lvlText w:val="%1."/>
      <w:lvlJc w:val="right"/>
      <w:pPr>
        <w:ind w:left="1287" w:hanging="360"/>
      </w:pPr>
      <w:rPr>
        <w:sz w:val="24"/>
        <w:rFonts w:ascii="Arial" w:hAnsi="Arial" w:eastAsia="Times New Roman" w:cs="Arial"/>
      </w:r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41">
    <w:lvl w:ilvl="0">
      <w:start w:val="1"/>
      <w:numFmt w:val="upperRoman"/>
      <w:lvlText w:val="%1."/>
      <w:lvlJc w:val="left"/>
      <w:pPr>
        <w:ind w:left="1080" w:hanging="720"/>
      </w:pPr>
    </w:lvl>
    <w:lvl w:ilvl="1">
      <w:start w:val="1"/>
      <w:numFmt w:val="upperRoman"/>
      <w:lvlText w:val="%2."/>
      <w:lvlJc w:val="left"/>
      <w:pPr>
        <w:ind w:left="1800" w:hanging="720"/>
      </w:pPr>
      <w:rPr>
        <w:sz w:val="24"/>
        <w:rFonts w:ascii="Arial" w:hAnsi="Arial" w:cs="Arial"/>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lvl w:ilvl="0">
      <w:start w:val="1"/>
      <w:numFmt w:val="upperRoman"/>
      <w:lvlText w:val="%1."/>
      <w:lvlJc w:val="right"/>
      <w:pPr>
        <w:ind w:left="1400" w:hanging="360"/>
      </w:pPr>
      <w:rPr>
        <w:sz w:val="24"/>
        <w:rFonts w:ascii="Arial" w:hAnsi="Arial" w:eastAsia="Times New Roman" w:cs="Arial"/>
      </w:rPr>
    </w:lvl>
    <w:lvl w:ilvl="1">
      <w:start w:val="1"/>
      <w:numFmt w:val="lowerLetter"/>
      <w:lvlText w:val="%2."/>
      <w:lvlJc w:val="left"/>
      <w:pPr>
        <w:ind w:left="2120" w:hanging="360"/>
      </w:pPr>
    </w:lvl>
    <w:lvl w:ilvl="2">
      <w:start w:val="1"/>
      <w:numFmt w:val="lowerRoman"/>
      <w:lvlText w:val="%3."/>
      <w:lvlJc w:val="right"/>
      <w:pPr>
        <w:ind w:left="2840" w:hanging="180"/>
      </w:pPr>
    </w:lvl>
    <w:lvl w:ilvl="3">
      <w:start w:val="1"/>
      <w:numFmt w:val="decimal"/>
      <w:lvlText w:val="%4."/>
      <w:lvlJc w:val="left"/>
      <w:pPr>
        <w:ind w:left="3560" w:hanging="360"/>
      </w:pPr>
    </w:lvl>
    <w:lvl w:ilvl="4">
      <w:start w:val="1"/>
      <w:numFmt w:val="lowerLetter"/>
      <w:lvlText w:val="%5."/>
      <w:lvlJc w:val="left"/>
      <w:pPr>
        <w:ind w:left="4280" w:hanging="360"/>
      </w:pPr>
    </w:lvl>
    <w:lvl w:ilvl="5">
      <w:start w:val="1"/>
      <w:numFmt w:val="lowerRoman"/>
      <w:lvlText w:val="%6."/>
      <w:lvlJc w:val="right"/>
      <w:pPr>
        <w:ind w:left="5000" w:hanging="180"/>
      </w:pPr>
    </w:lvl>
    <w:lvl w:ilvl="6">
      <w:start w:val="1"/>
      <w:numFmt w:val="decimal"/>
      <w:lvlText w:val="%7."/>
      <w:lvlJc w:val="left"/>
      <w:pPr>
        <w:ind w:left="5720" w:hanging="360"/>
      </w:pPr>
    </w:lvl>
    <w:lvl w:ilvl="7">
      <w:start w:val="1"/>
      <w:numFmt w:val="lowerLetter"/>
      <w:lvlText w:val="%8."/>
      <w:lvlJc w:val="left"/>
      <w:pPr>
        <w:ind w:left="6440" w:hanging="360"/>
      </w:pPr>
    </w:lvl>
    <w:lvl w:ilvl="8">
      <w:start w:val="1"/>
      <w:numFmt w:val="lowerRoman"/>
      <w:lvlText w:val="%9."/>
      <w:lvlJc w:val="right"/>
      <w:pPr>
        <w:ind w:left="7160" w:hanging="180"/>
      </w:pPr>
    </w:lvl>
  </w:abstractNum>
  <w:abstractNum w:abstractNumId="43">
    <w:lvl w:ilvl="0">
      <w:start w:val="1"/>
      <w:numFmt w:val="upperRoman"/>
      <w:lvlText w:val="%1."/>
      <w:lvlJc w:val="right"/>
      <w:pPr>
        <w:ind w:left="1457" w:hanging="360"/>
      </w:pPr>
      <w:rPr>
        <w:sz w:val="24"/>
        <w:rFonts w:ascii="Arial" w:hAnsi="Arial" w:eastAsia="Times New Roman" w:cs="Arial"/>
      </w:rPr>
    </w:lvl>
    <w:lvl w:ilvl="1">
      <w:start w:val="1"/>
      <w:numFmt w:val="lowerLetter"/>
      <w:lvlText w:val="%2."/>
      <w:lvlJc w:val="left"/>
      <w:pPr>
        <w:ind w:left="2177" w:hanging="360"/>
      </w:pPr>
    </w:lvl>
    <w:lvl w:ilvl="2">
      <w:start w:val="1"/>
      <w:numFmt w:val="lowerRoman"/>
      <w:lvlText w:val="%3."/>
      <w:lvlJc w:val="right"/>
      <w:pPr>
        <w:ind w:left="2897" w:hanging="180"/>
      </w:pPr>
    </w:lvl>
    <w:lvl w:ilvl="3">
      <w:start w:val="1"/>
      <w:numFmt w:val="decimal"/>
      <w:lvlText w:val="%4."/>
      <w:lvlJc w:val="left"/>
      <w:pPr>
        <w:ind w:left="3617" w:hanging="360"/>
      </w:pPr>
    </w:lvl>
    <w:lvl w:ilvl="4">
      <w:start w:val="1"/>
      <w:numFmt w:val="lowerLetter"/>
      <w:lvlText w:val="%5."/>
      <w:lvlJc w:val="left"/>
      <w:pPr>
        <w:ind w:left="4337" w:hanging="360"/>
      </w:pPr>
    </w:lvl>
    <w:lvl w:ilvl="5">
      <w:start w:val="1"/>
      <w:numFmt w:val="lowerRoman"/>
      <w:lvlText w:val="%6."/>
      <w:lvlJc w:val="right"/>
      <w:pPr>
        <w:ind w:left="5057" w:hanging="180"/>
      </w:pPr>
    </w:lvl>
    <w:lvl w:ilvl="6">
      <w:start w:val="1"/>
      <w:numFmt w:val="decimal"/>
      <w:lvlText w:val="%7."/>
      <w:lvlJc w:val="left"/>
      <w:pPr>
        <w:ind w:left="5777" w:hanging="360"/>
      </w:pPr>
    </w:lvl>
    <w:lvl w:ilvl="7">
      <w:start w:val="1"/>
      <w:numFmt w:val="lowerLetter"/>
      <w:lvlText w:val="%8."/>
      <w:lvlJc w:val="left"/>
      <w:pPr>
        <w:ind w:left="6497" w:hanging="360"/>
      </w:pPr>
    </w:lvl>
    <w:lvl w:ilvl="8">
      <w:start w:val="1"/>
      <w:numFmt w:val="lowerRoman"/>
      <w:lvlText w:val="%9."/>
      <w:lvlJc w:val="right"/>
      <w:pPr>
        <w:ind w:left="7217" w:hanging="180"/>
      </w:pPr>
    </w:lvl>
  </w:abstractNum>
  <w:abstractNum w:abstractNumId="44">
    <w:lvl w:ilvl="0">
      <w:start w:val="1"/>
      <w:numFmt w:val="upperRoman"/>
      <w:lvlText w:val="%1."/>
      <w:lvlJc w:val="right"/>
      <w:pPr>
        <w:ind w:left="1457" w:hanging="360"/>
      </w:pPr>
      <w:rPr>
        <w:sz w:val="24"/>
        <w:rFonts w:ascii="Arial" w:hAnsi="Arial" w:eastAsia="Times New Roman" w:cs="Arial"/>
      </w:rPr>
    </w:lvl>
    <w:lvl w:ilvl="1">
      <w:start w:val="1"/>
      <w:numFmt w:val="lowerLetter"/>
      <w:lvlText w:val="%2."/>
      <w:lvlJc w:val="left"/>
      <w:pPr>
        <w:ind w:left="2177" w:hanging="360"/>
      </w:pPr>
    </w:lvl>
    <w:lvl w:ilvl="2">
      <w:start w:val="1"/>
      <w:numFmt w:val="lowerRoman"/>
      <w:lvlText w:val="%3."/>
      <w:lvlJc w:val="right"/>
      <w:pPr>
        <w:ind w:left="2897" w:hanging="180"/>
      </w:pPr>
    </w:lvl>
    <w:lvl w:ilvl="3">
      <w:start w:val="1"/>
      <w:numFmt w:val="decimal"/>
      <w:lvlText w:val="%4."/>
      <w:lvlJc w:val="left"/>
      <w:pPr>
        <w:ind w:left="3617" w:hanging="360"/>
      </w:pPr>
    </w:lvl>
    <w:lvl w:ilvl="4">
      <w:start w:val="1"/>
      <w:numFmt w:val="lowerLetter"/>
      <w:lvlText w:val="%5."/>
      <w:lvlJc w:val="left"/>
      <w:pPr>
        <w:ind w:left="4337" w:hanging="360"/>
      </w:pPr>
    </w:lvl>
    <w:lvl w:ilvl="5">
      <w:start w:val="1"/>
      <w:numFmt w:val="lowerRoman"/>
      <w:lvlText w:val="%6."/>
      <w:lvlJc w:val="right"/>
      <w:pPr>
        <w:ind w:left="5057" w:hanging="180"/>
      </w:pPr>
    </w:lvl>
    <w:lvl w:ilvl="6">
      <w:start w:val="1"/>
      <w:numFmt w:val="decimal"/>
      <w:lvlText w:val="%7."/>
      <w:lvlJc w:val="left"/>
      <w:pPr>
        <w:ind w:left="5777" w:hanging="360"/>
      </w:pPr>
    </w:lvl>
    <w:lvl w:ilvl="7">
      <w:start w:val="1"/>
      <w:numFmt w:val="lowerLetter"/>
      <w:lvlText w:val="%8."/>
      <w:lvlJc w:val="left"/>
      <w:pPr>
        <w:ind w:left="6497" w:hanging="360"/>
      </w:pPr>
    </w:lvl>
    <w:lvl w:ilvl="8">
      <w:start w:val="1"/>
      <w:numFmt w:val="lowerRoman"/>
      <w:lvlText w:val="%9."/>
      <w:lvlJc w:val="right"/>
      <w:pPr>
        <w:ind w:left="7217" w:hanging="180"/>
      </w:pPr>
    </w:lvl>
  </w:abstractNum>
  <w:abstractNum w:abstractNumId="4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lvl w:ilvl="0">
      <w:start w:val="1"/>
      <w:numFmt w:val="lowerLetter"/>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lvl w:ilvl="0">
      <w:start w:val="1"/>
      <w:numFmt w:val="decimal"/>
      <w:lvlText w:val="%1."/>
      <w:lvlJc w:val="left"/>
      <w:pPr>
        <w:ind w:left="720" w:hanging="360"/>
      </w:pPr>
      <w:rPr>
        <w:sz w:val="24"/>
        <w:rFonts w:ascii="Arial" w:hAnsi="Arial" w:eastAsia="Times New Roman"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lvl w:ilvl="0">
      <w:start w:val="1"/>
      <w:numFmt w:val="decimal"/>
      <w:lvlText w:val="%1."/>
      <w:lvlJc w:val="left"/>
      <w:pPr>
        <w:ind w:left="720" w:hanging="360"/>
      </w:pPr>
      <w:rPr>
        <w:sz w:val="24"/>
        <w:rFonts w:ascii="Arial" w:hAnsi="Arial" w:eastAsia="Times New Roman"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4">
    <w:lvl w:ilvl="0">
      <w:start w:val="1"/>
      <w:numFmt w:val="lowerLetter"/>
      <w:lvlText w:val="%1)"/>
      <w:lvlJc w:val="left"/>
      <w:pPr>
        <w:ind w:left="360" w:hanging="360"/>
      </w:pPr>
      <w:rPr>
        <w:sz w:val="24"/>
        <w:rFonts w:ascii="Arial" w:hAnsi="Arial" w:eastAsia="Times New Roman" w:cs="Arial"/>
      </w:rPr>
    </w:lvl>
    <w:lvl w:ilvl="1">
      <w:start w:val="1"/>
      <w:numFmt w:val="lowerLetter"/>
      <w:lvlText w:val="%2)"/>
      <w:lvlJc w:val="left"/>
      <w:pPr>
        <w:ind w:left="144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lvl w:ilvl="0">
      <w:start w:val="1"/>
      <w:numFmt w:val="bullet"/>
      <w:lvlText w:val=""/>
      <w:lvlJc w:val="left"/>
      <w:pPr>
        <w:ind w:left="720" w:hanging="360"/>
      </w:pPr>
      <w:rPr>
        <w:rFonts w:ascii="Symbol" w:hAnsi="Symbol" w:cs="Symbol" w:hint="default"/>
        <w:sz w:val="24"/>
        <w:b/>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 w:numId="58">
    <w:abstractNumId w:val="58"/>
  </w:num>
  <w:num w:numId="59">
    <w:abstractNumId w:val="59"/>
  </w:num>
  <w:num w:numId="60">
    <w:abstractNumId w:val="60"/>
  </w:num>
  <w:num w:numId="61">
    <w:abstractNumId w:val="61"/>
  </w:num>
  <w:num w:numId="62">
    <w:abstractNumId w:val="62"/>
  </w:num>
  <w:num w:numId="63">
    <w:abstractNumId w:val="63"/>
  </w:num>
  <w:num w:numId="64">
    <w:abstractNumId w:val="64"/>
  </w:num>
  <w:num w:numId="65">
    <w:abstractNumId w:val="65"/>
  </w:num>
  <w:num w:numId="66">
    <w:abstractNumId w:val="66"/>
  </w:num>
</w:numbering>
</file>

<file path=word/settings.xml><?xml version="1.0" encoding="utf-8"?>
<w:settings xmlns:w="http://schemas.openxmlformats.org/wordprocessingml/2006/main">
  <w:zoom w:percent="110"/>
  <w:displayBackgroundShape/>
  <w:embedSystemFonts/>
  <w:defaultTabStop w:val="720"/>
  <w:autoHyphenation w:val="fals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pt-BR"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t-BR" w:eastAsia="en-US" w:bidi="ar-SA"/>
      </w:rPr>
    </w:rPrDefault>
    <w:pPrDefault>
      <w:pPr/>
    </w:pPrDefault>
  </w:docDefaults>
  <w:latentStyles w:defLockedState="0" w:defUIPriority="99" w:defSemiHidden="0" w:defUnhideWhenUsed="0" w:defQFormat="0" w:count="380">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pPr>
      <w:widowControl w:val="false"/>
      <w:suppressAutoHyphens w:val="true"/>
      <w:overflowPunct w:val="true"/>
      <w:bidi w:val="0"/>
      <w:jc w:val="left"/>
      <w:textAlignment w:val="baseline"/>
    </w:pPr>
    <w:rPr>
      <w:rFonts w:ascii="Times New Roman" w:hAnsi="Times New Roman" w:eastAsia="Times New Roman" w:cs="Times New Roman"/>
      <w:color w:val="00000A"/>
      <w:sz w:val="20"/>
      <w:szCs w:val="20"/>
      <w:lang w:val="pt-BR" w:eastAsia="zh-CN" w:bidi="ar-SA"/>
    </w:rPr>
  </w:style>
  <w:style w:type="paragraph" w:styleId="Ttulo1">
    <w:name w:val="Heading 1"/>
    <w:basedOn w:val="Normal"/>
    <w:next w:val="Normal"/>
    <w:qFormat/>
    <w:pPr>
      <w:keepNext/>
      <w:widowControl/>
      <w:numPr>
        <w:ilvl w:val="0"/>
        <w:numId w:val="1"/>
      </w:numPr>
      <w:jc w:val="center"/>
      <w:textAlignment w:val="auto"/>
      <w:outlineLvl w:val="0"/>
      <w:outlineLvl w:val="0"/>
    </w:pPr>
    <w:rPr/>
  </w:style>
  <w:style w:type="paragraph" w:styleId="Ttulo2">
    <w:name w:val="Heading 2"/>
    <w:basedOn w:val="Ttulo"/>
    <w:qFormat/>
    <w:rsid w:val="00e42270"/>
    <w:pPr>
      <w:widowControl w:val="false"/>
      <w:bidi w:val="0"/>
      <w:jc w:val="left"/>
      <w:outlineLvl w:val="1"/>
    </w:pPr>
    <w:rPr>
      <w:rFonts w:ascii="Arial" w:hAnsi="Arial" w:eastAsia="Times New Roman" w:cs="Arial"/>
      <w:color w:val="00000A"/>
      <w:sz w:val="24"/>
      <w:szCs w:val="24"/>
      <w:lang w:val="pt-BR" w:eastAsia="en-US" w:bidi="ar-SA"/>
    </w:rPr>
  </w:style>
  <w:style w:type="paragraph" w:styleId="Ttulo3">
    <w:name w:val="Heading 3"/>
    <w:basedOn w:val="Ttulo"/>
    <w:qFormat/>
    <w:rsid w:val="009d3b70"/>
    <w:pPr>
      <w:widowControl w:val="false"/>
      <w:numPr>
        <w:ilvl w:val="2"/>
        <w:numId w:val="1"/>
      </w:numPr>
      <w:bidi w:val="0"/>
      <w:jc w:val="left"/>
      <w:outlineLvl w:val="2"/>
      <w:outlineLvl w:val="2"/>
    </w:pPr>
    <w:rPr>
      <w:rFonts w:ascii="Arial" w:hAnsi="Arial" w:eastAsia="Times New Roman" w:cs="Arial"/>
      <w:color w:val="00000A"/>
      <w:sz w:val="24"/>
      <w:szCs w:val="24"/>
      <w:lang w:val="pt-BR" w:eastAsia="en-US" w:bidi="ar-SA"/>
    </w:rPr>
  </w:style>
  <w:style w:type="paragraph" w:styleId="Ttulo4">
    <w:name w:val="Heading 4"/>
    <w:basedOn w:val="Normal"/>
    <w:next w:val="Normal"/>
    <w:qFormat/>
    <w:pPr>
      <w:keepNext/>
      <w:numPr>
        <w:ilvl w:val="3"/>
        <w:numId w:val="1"/>
      </w:numPr>
      <w:outlineLvl w:val="3"/>
      <w:outlineLvl w:val="3"/>
    </w:pPr>
    <w:rPr>
      <w:sz w:val="28"/>
      <w:szCs w:val="28"/>
    </w:rPr>
  </w:style>
  <w:style w:type="paragraph" w:styleId="Ttulo5">
    <w:name w:val="Heading 5"/>
    <w:basedOn w:val="Ttulo"/>
    <w:qFormat/>
    <w:pPr/>
    <w:rPr/>
  </w:style>
  <w:style w:type="paragraph" w:styleId="Ttulo6">
    <w:name w:val="Heading 6"/>
    <w:basedOn w:val="Ttulo"/>
    <w:qFormat/>
    <w:pPr/>
    <w:rPr/>
  </w:style>
  <w:style w:type="paragraph" w:styleId="Ttulo7">
    <w:name w:val="Heading 7"/>
    <w:basedOn w:val="Ttulo"/>
    <w:qFormat/>
    <w:pPr/>
    <w:rPr/>
  </w:style>
  <w:style w:type="paragraph" w:styleId="Ttulo8">
    <w:name w:val="Heading 8"/>
    <w:basedOn w:val="Ttulo"/>
    <w:qFormat/>
    <w:pPr/>
    <w:rPr/>
  </w:style>
  <w:style w:type="paragraph" w:styleId="Ttulo9">
    <w:name w:val="Heading 9"/>
    <w:basedOn w:val="Ttulo"/>
    <w:qFormat/>
    <w:pPr/>
    <w:rPr/>
  </w:style>
  <w:style w:type="character" w:styleId="DefaultParagraphFont" w:default="1">
    <w:name w:val="Default Paragraph Font"/>
    <w:uiPriority w:val="1"/>
    <w:semiHidden/>
    <w:unhideWhenUsed/>
    <w:qFormat/>
    <w:rPr/>
  </w:style>
  <w:style w:type="character" w:styleId="WW8Num1z0" w:customStyle="1">
    <w:name w:val="WW8Num1z0"/>
    <w:qFormat/>
    <w:rPr/>
  </w:style>
  <w:style w:type="character" w:styleId="WW8Num1z1" w:customStyle="1">
    <w:name w:val="WW8Num1z1"/>
    <w:qFormat/>
    <w:rPr/>
  </w:style>
  <w:style w:type="character" w:styleId="WW8Num1z2" w:customStyle="1">
    <w:name w:val="WW8Num1z2"/>
    <w:qFormat/>
    <w:rPr/>
  </w:style>
  <w:style w:type="character" w:styleId="WW8Num1z3" w:customStyle="1">
    <w:name w:val="WW8Num1z3"/>
    <w:qFormat/>
    <w:rPr/>
  </w:style>
  <w:style w:type="character" w:styleId="WW8Num1z4" w:customStyle="1">
    <w:name w:val="WW8Num1z4"/>
    <w:qFormat/>
    <w:rPr/>
  </w:style>
  <w:style w:type="character" w:styleId="WW8Num1z5" w:customStyle="1">
    <w:name w:val="WW8Num1z5"/>
    <w:qFormat/>
    <w:rPr/>
  </w:style>
  <w:style w:type="character" w:styleId="WW8Num1z6" w:customStyle="1">
    <w:name w:val="WW8Num1z6"/>
    <w:qFormat/>
    <w:rPr/>
  </w:style>
  <w:style w:type="character" w:styleId="WW8Num1z7" w:customStyle="1">
    <w:name w:val="WW8Num1z7"/>
    <w:qFormat/>
    <w:rPr/>
  </w:style>
  <w:style w:type="character" w:styleId="WW8Num1z8" w:customStyle="1">
    <w:name w:val="WW8Num1z8"/>
    <w:qFormat/>
    <w:rPr/>
  </w:style>
  <w:style w:type="character" w:styleId="WW8Num2z0" w:customStyle="1">
    <w:name w:val="WW8Num2z0"/>
    <w:qFormat/>
    <w:rPr/>
  </w:style>
  <w:style w:type="character" w:styleId="WW8Num2z1" w:customStyle="1">
    <w:name w:val="WW8Num2z1"/>
    <w:qFormat/>
    <w:rPr/>
  </w:style>
  <w:style w:type="character" w:styleId="WW8Num2z2" w:customStyle="1">
    <w:name w:val="WW8Num2z2"/>
    <w:qFormat/>
    <w:rPr/>
  </w:style>
  <w:style w:type="character" w:styleId="WW8Num2z3" w:customStyle="1">
    <w:name w:val="WW8Num2z3"/>
    <w:qFormat/>
    <w:rPr/>
  </w:style>
  <w:style w:type="character" w:styleId="WW8Num2z4" w:customStyle="1">
    <w:name w:val="WW8Num2z4"/>
    <w:qFormat/>
    <w:rPr/>
  </w:style>
  <w:style w:type="character" w:styleId="WW8Num2z5" w:customStyle="1">
    <w:name w:val="WW8Num2z5"/>
    <w:qFormat/>
    <w:rPr/>
  </w:style>
  <w:style w:type="character" w:styleId="WW8Num2z6" w:customStyle="1">
    <w:name w:val="WW8Num2z6"/>
    <w:qFormat/>
    <w:rPr/>
  </w:style>
  <w:style w:type="character" w:styleId="WW8Num2z7" w:customStyle="1">
    <w:name w:val="WW8Num2z7"/>
    <w:qFormat/>
    <w:rPr/>
  </w:style>
  <w:style w:type="character" w:styleId="WW8Num2z8" w:customStyle="1">
    <w:name w:val="WW8Num2z8"/>
    <w:qFormat/>
    <w:rPr/>
  </w:style>
  <w:style w:type="character" w:styleId="WW8Num3z0" w:customStyle="1">
    <w:name w:val="WW8Num3z0"/>
    <w:qFormat/>
    <w:rPr>
      <w:rFonts w:ascii="Symbol" w:hAnsi="Symbol" w:cs="Symbol"/>
      <w:sz w:val="24"/>
      <w:szCs w:val="24"/>
      <w:shd w:fill="FFFFFF" w:val="clear"/>
    </w:rPr>
  </w:style>
  <w:style w:type="character" w:styleId="WW8Num4z0" w:customStyle="1">
    <w:name w:val="WW8Num4z0"/>
    <w:qFormat/>
    <w:rPr>
      <w:rFonts w:ascii="Symbol" w:hAnsi="Symbol" w:eastAsia="SimSun" w:cs="Symbol"/>
      <w:color w:val="000000"/>
      <w:sz w:val="24"/>
      <w:szCs w:val="24"/>
      <w:shd w:fill="FFFFFF" w:val="clear"/>
      <w:lang w:val="en-US" w:eastAsia="en-US" w:bidi="hi-IN"/>
    </w:rPr>
  </w:style>
  <w:style w:type="character" w:styleId="WW8Num5z0" w:customStyle="1">
    <w:name w:val="WW8Num5z0"/>
    <w:qFormat/>
    <w:rPr>
      <w:rFonts w:ascii="Symbol" w:hAnsi="Symbol" w:cs="Symbol"/>
      <w:sz w:val="24"/>
      <w:szCs w:val="24"/>
    </w:rPr>
  </w:style>
  <w:style w:type="character" w:styleId="WW8Num5z2" w:customStyle="1">
    <w:name w:val="WW8Num5z2"/>
    <w:qFormat/>
    <w:rPr>
      <w:rFonts w:ascii="Times New Roman" w:hAnsi="Times New Roman" w:cs="Times New Roman"/>
    </w:rPr>
  </w:style>
  <w:style w:type="character" w:styleId="WW8Num6z0" w:customStyle="1">
    <w:name w:val="WW8Num6z0"/>
    <w:qFormat/>
    <w:rPr>
      <w:rFonts w:ascii="Arial" w:hAnsi="Arial" w:eastAsia="SimSun" w:cs="Arial"/>
      <w:b/>
      <w:sz w:val="24"/>
      <w:szCs w:val="24"/>
      <w:lang w:bidi="hi-IN"/>
    </w:rPr>
  </w:style>
  <w:style w:type="character" w:styleId="WW8Num6z1" w:customStyle="1">
    <w:name w:val="WW8Num6z1"/>
    <w:qFormat/>
    <w:rPr>
      <w:rFonts w:ascii="Arial" w:hAnsi="Arial" w:eastAsia="SimSun" w:cs="Arial"/>
      <w:b/>
      <w:bCs/>
      <w:sz w:val="24"/>
      <w:szCs w:val="24"/>
      <w:lang w:bidi="hi-IN"/>
    </w:rPr>
  </w:style>
  <w:style w:type="character" w:styleId="WW8Num7z0" w:customStyle="1">
    <w:name w:val="WW8Num7z0"/>
    <w:qFormat/>
    <w:rPr>
      <w:rFonts w:ascii="Arial" w:hAnsi="Arial" w:eastAsia="SimSun" w:cs="Arial"/>
      <w:sz w:val="24"/>
      <w:szCs w:val="24"/>
      <w:lang w:bidi="hi-IN"/>
    </w:rPr>
  </w:style>
  <w:style w:type="character" w:styleId="WW8Num8z0" w:customStyle="1">
    <w:name w:val="WW8Num8z0"/>
    <w:qFormat/>
    <w:rPr>
      <w:rFonts w:ascii="Symbol" w:hAnsi="Symbol" w:cs="Symbol"/>
      <w:sz w:val="24"/>
      <w:szCs w:val="24"/>
    </w:rPr>
  </w:style>
  <w:style w:type="character" w:styleId="WW8Num8z1" w:customStyle="1">
    <w:name w:val="WW8Num8z1"/>
    <w:qFormat/>
    <w:rPr/>
  </w:style>
  <w:style w:type="character" w:styleId="WW8Num8z2" w:customStyle="1">
    <w:name w:val="WW8Num8z2"/>
    <w:qFormat/>
    <w:rPr/>
  </w:style>
  <w:style w:type="character" w:styleId="WW8Num8z3" w:customStyle="1">
    <w:name w:val="WW8Num8z3"/>
    <w:qFormat/>
    <w:rPr/>
  </w:style>
  <w:style w:type="character" w:styleId="WW8Num8z4" w:customStyle="1">
    <w:name w:val="WW8Num8z4"/>
    <w:qFormat/>
    <w:rPr/>
  </w:style>
  <w:style w:type="character" w:styleId="WW8Num8z5" w:customStyle="1">
    <w:name w:val="WW8Num8z5"/>
    <w:qFormat/>
    <w:rPr/>
  </w:style>
  <w:style w:type="character" w:styleId="WW8Num8z6" w:customStyle="1">
    <w:name w:val="WW8Num8z6"/>
    <w:qFormat/>
    <w:rPr/>
  </w:style>
  <w:style w:type="character" w:styleId="WW8Num8z7" w:customStyle="1">
    <w:name w:val="WW8Num8z7"/>
    <w:qFormat/>
    <w:rPr/>
  </w:style>
  <w:style w:type="character" w:styleId="WW8Num8z8" w:customStyle="1">
    <w:name w:val="WW8Num8z8"/>
    <w:qFormat/>
    <w:rPr/>
  </w:style>
  <w:style w:type="character" w:styleId="WW8Num9z0" w:customStyle="1">
    <w:name w:val="WW8Num9z0"/>
    <w:qFormat/>
    <w:rPr>
      <w:rFonts w:ascii="Symbol" w:hAnsi="Symbol" w:cs="Symbol"/>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10z0" w:customStyle="1">
    <w:name w:val="WW8Num10z0"/>
    <w:qFormat/>
    <w:rPr>
      <w:rFonts w:ascii="Symbol" w:hAnsi="Symbol" w:cs="Symbol"/>
      <w:sz w:val="24"/>
      <w:szCs w:val="24"/>
    </w:rPr>
  </w:style>
  <w:style w:type="character" w:styleId="WW8Num10z2" w:customStyle="1">
    <w:name w:val="WW8Num10z2"/>
    <w:qFormat/>
    <w:rPr>
      <w:rFonts w:ascii="Times New Roman" w:hAnsi="Times New Roman" w:cs="Times New Roman"/>
    </w:rPr>
  </w:style>
  <w:style w:type="character" w:styleId="WW8Num11z0" w:customStyle="1">
    <w:name w:val="WW8Num11z0"/>
    <w:qFormat/>
    <w:rPr>
      <w:rFonts w:ascii="Symbol" w:hAnsi="Symbol" w:cs="Symbol"/>
    </w:rPr>
  </w:style>
  <w:style w:type="character" w:styleId="WW8Num12z0" w:customStyle="1">
    <w:name w:val="WW8Num12z0"/>
    <w:qFormat/>
    <w:rPr>
      <w:rFonts w:ascii="Symbol" w:hAnsi="Symbol" w:eastAsia="SimSun" w:cs="Symbol"/>
      <w:sz w:val="24"/>
      <w:szCs w:val="24"/>
      <w:shd w:fill="FFFFFF" w:val="clear"/>
      <w:lang w:bidi="hi-IN"/>
    </w:rPr>
  </w:style>
  <w:style w:type="character" w:styleId="WW8Num12z1" w:customStyle="1">
    <w:name w:val="WW8Num12z1"/>
    <w:qFormat/>
    <w:rPr>
      <w:rFonts w:ascii="OpenSymbol" w:hAnsi="OpenSymbol" w:cs="OpenSymbol"/>
      <w:sz w:val="24"/>
      <w:szCs w:val="24"/>
    </w:rPr>
  </w:style>
  <w:style w:type="character" w:styleId="WW8Num13z0" w:customStyle="1">
    <w:name w:val="WW8Num13z0"/>
    <w:qFormat/>
    <w:rPr>
      <w:rFonts w:ascii="Symbol" w:hAnsi="Symbol" w:cs="Symbol"/>
      <w:sz w:val="28"/>
      <w:szCs w:val="28"/>
    </w:rPr>
  </w:style>
  <w:style w:type="character" w:styleId="WW8Num13z2" w:customStyle="1">
    <w:name w:val="WW8Num13z2"/>
    <w:qFormat/>
    <w:rPr>
      <w:rFonts w:ascii="Times New Roman" w:hAnsi="Times New Roman" w:cs="Times New Roman"/>
    </w:rPr>
  </w:style>
  <w:style w:type="character" w:styleId="WW8Num14z0" w:customStyle="1">
    <w:name w:val="WW8Num14z0"/>
    <w:qFormat/>
    <w:rPr>
      <w:rFonts w:ascii="Symbol" w:hAnsi="Symbol" w:cs="Symbol"/>
      <w:sz w:val="24"/>
      <w:szCs w:val="24"/>
      <w:lang w:bidi="hi-IN"/>
    </w:rPr>
  </w:style>
  <w:style w:type="character" w:styleId="WW8Num15z0" w:customStyle="1">
    <w:name w:val="WW8Num15z0"/>
    <w:qFormat/>
    <w:rPr>
      <w:rFonts w:ascii="Symbol" w:hAnsi="Symbol" w:cs="Symbol"/>
      <w:sz w:val="24"/>
      <w:szCs w:val="24"/>
    </w:rPr>
  </w:style>
  <w:style w:type="character" w:styleId="WW8Num15z1" w:customStyle="1">
    <w:name w:val="WW8Num15z1"/>
    <w:qFormat/>
    <w:rPr>
      <w:rFonts w:ascii="OpenSymbol" w:hAnsi="OpenSymbol" w:cs="OpenSymbol"/>
      <w:sz w:val="24"/>
      <w:szCs w:val="24"/>
    </w:rPr>
  </w:style>
  <w:style w:type="character" w:styleId="WW8Num16z0" w:customStyle="1">
    <w:name w:val="WW8Num16z0"/>
    <w:qFormat/>
    <w:rPr>
      <w:rFonts w:ascii="Symbol" w:hAnsi="Symbol" w:cs="Symbol"/>
      <w:sz w:val="24"/>
      <w:szCs w:val="24"/>
      <w:shd w:fill="FFFFFF" w:val="clear"/>
    </w:rPr>
  </w:style>
  <w:style w:type="character" w:styleId="WW8Num17z0" w:customStyle="1">
    <w:name w:val="WW8Num17z0"/>
    <w:qFormat/>
    <w:rPr>
      <w:rFonts w:ascii="Symbol" w:hAnsi="Symbol" w:cs="Symbol"/>
    </w:rPr>
  </w:style>
  <w:style w:type="character" w:styleId="WW8Num17z2" w:customStyle="1">
    <w:name w:val="WW8Num17z2"/>
    <w:qFormat/>
    <w:rPr>
      <w:rFonts w:ascii="Times New Roman" w:hAnsi="Times New Roman" w:cs="Times New Roman"/>
    </w:rPr>
  </w:style>
  <w:style w:type="character" w:styleId="WW8Num18z0" w:customStyle="1">
    <w:name w:val="WW8Num18z0"/>
    <w:qFormat/>
    <w:rPr/>
  </w:style>
  <w:style w:type="character" w:styleId="WW8Num18z1" w:customStyle="1">
    <w:name w:val="WW8Num18z1"/>
    <w:qFormat/>
    <w:rPr>
      <w:rFonts w:ascii="Arial" w:hAnsi="Arial" w:eastAsia="Times New Roman" w:cs="Arial"/>
      <w:b w:val="false"/>
      <w:bCs w:val="false"/>
    </w:rPr>
  </w:style>
  <w:style w:type="character" w:styleId="WW8Num18z2" w:customStyle="1">
    <w:name w:val="WW8Num18z2"/>
    <w:qFormat/>
    <w:rPr/>
  </w:style>
  <w:style w:type="character" w:styleId="WW8Num18z3" w:customStyle="1">
    <w:name w:val="WW8Num18z3"/>
    <w:qFormat/>
    <w:rPr/>
  </w:style>
  <w:style w:type="character" w:styleId="WW8Num18z4" w:customStyle="1">
    <w:name w:val="WW8Num18z4"/>
    <w:qFormat/>
    <w:rPr/>
  </w:style>
  <w:style w:type="character" w:styleId="WW8Num18z5" w:customStyle="1">
    <w:name w:val="WW8Num18z5"/>
    <w:qFormat/>
    <w:rPr/>
  </w:style>
  <w:style w:type="character" w:styleId="WW8Num18z6" w:customStyle="1">
    <w:name w:val="WW8Num18z6"/>
    <w:qFormat/>
    <w:rPr/>
  </w:style>
  <w:style w:type="character" w:styleId="WW8Num18z7" w:customStyle="1">
    <w:name w:val="WW8Num18z7"/>
    <w:qFormat/>
    <w:rPr/>
  </w:style>
  <w:style w:type="character" w:styleId="WW8Num18z8" w:customStyle="1">
    <w:name w:val="WW8Num18z8"/>
    <w:qFormat/>
    <w:rPr/>
  </w:style>
  <w:style w:type="character" w:styleId="WW8Num19z0" w:customStyle="1">
    <w:name w:val="WW8Num19z0"/>
    <w:qFormat/>
    <w:rPr/>
  </w:style>
  <w:style w:type="character" w:styleId="WW8Num19z1" w:customStyle="1">
    <w:name w:val="WW8Num19z1"/>
    <w:qFormat/>
    <w:rPr/>
  </w:style>
  <w:style w:type="character" w:styleId="WW8Num19z2" w:customStyle="1">
    <w:name w:val="WW8Num19z2"/>
    <w:qFormat/>
    <w:rPr/>
  </w:style>
  <w:style w:type="character" w:styleId="WW8Num19z3" w:customStyle="1">
    <w:name w:val="WW8Num19z3"/>
    <w:qFormat/>
    <w:rPr/>
  </w:style>
  <w:style w:type="character" w:styleId="WW8Num19z4" w:customStyle="1">
    <w:name w:val="WW8Num19z4"/>
    <w:qFormat/>
    <w:rPr/>
  </w:style>
  <w:style w:type="character" w:styleId="WW8Num19z5" w:customStyle="1">
    <w:name w:val="WW8Num19z5"/>
    <w:qFormat/>
    <w:rPr/>
  </w:style>
  <w:style w:type="character" w:styleId="WW8Num19z6" w:customStyle="1">
    <w:name w:val="WW8Num19z6"/>
    <w:qFormat/>
    <w:rPr/>
  </w:style>
  <w:style w:type="character" w:styleId="WW8Num19z7" w:customStyle="1">
    <w:name w:val="WW8Num19z7"/>
    <w:qFormat/>
    <w:rPr/>
  </w:style>
  <w:style w:type="character" w:styleId="WW8Num19z8" w:customStyle="1">
    <w:name w:val="WW8Num19z8"/>
    <w:qFormat/>
    <w:rPr/>
  </w:style>
  <w:style w:type="character" w:styleId="WW8Num20z0" w:customStyle="1">
    <w:name w:val="WW8Num20z0"/>
    <w:qFormat/>
    <w:rPr>
      <w:rFonts w:ascii="Symbol" w:hAnsi="Symbol" w:cs="Symbol"/>
    </w:rPr>
  </w:style>
  <w:style w:type="character" w:styleId="WW8Num20z1" w:customStyle="1">
    <w:name w:val="WW8Num20z1"/>
    <w:qFormat/>
    <w:rPr/>
  </w:style>
  <w:style w:type="character" w:styleId="WW8Num20z2" w:customStyle="1">
    <w:name w:val="WW8Num20z2"/>
    <w:qFormat/>
    <w:rPr/>
  </w:style>
  <w:style w:type="character" w:styleId="WW8Num20z3" w:customStyle="1">
    <w:name w:val="WW8Num20z3"/>
    <w:qFormat/>
    <w:rPr/>
  </w:style>
  <w:style w:type="character" w:styleId="WW8Num20z4" w:customStyle="1">
    <w:name w:val="WW8Num20z4"/>
    <w:qFormat/>
    <w:rPr/>
  </w:style>
  <w:style w:type="character" w:styleId="WW8Num20z5" w:customStyle="1">
    <w:name w:val="WW8Num20z5"/>
    <w:qFormat/>
    <w:rPr/>
  </w:style>
  <w:style w:type="character" w:styleId="WW8Num20z6" w:customStyle="1">
    <w:name w:val="WW8Num20z6"/>
    <w:qFormat/>
    <w:rPr/>
  </w:style>
  <w:style w:type="character" w:styleId="WW8Num20z7" w:customStyle="1">
    <w:name w:val="WW8Num20z7"/>
    <w:qFormat/>
    <w:rPr/>
  </w:style>
  <w:style w:type="character" w:styleId="WW8Num20z8" w:customStyle="1">
    <w:name w:val="WW8Num20z8"/>
    <w:qFormat/>
    <w:rPr/>
  </w:style>
  <w:style w:type="character" w:styleId="WW8Num21z0" w:customStyle="1">
    <w:name w:val="WW8Num21z0"/>
    <w:qFormat/>
    <w:rPr>
      <w:rFonts w:ascii="Symbol" w:hAnsi="Symbol" w:cs="Symbol"/>
    </w:rPr>
  </w:style>
  <w:style w:type="character" w:styleId="WW8Num21z1" w:customStyle="1">
    <w:name w:val="WW8Num21z1"/>
    <w:qFormat/>
    <w:rPr>
      <w:color w:val="000000"/>
    </w:rPr>
  </w:style>
  <w:style w:type="character" w:styleId="WW8Num21z2" w:customStyle="1">
    <w:name w:val="WW8Num21z2"/>
    <w:qFormat/>
    <w:rPr>
      <w:rFonts w:ascii="Arial" w:hAnsi="Arial" w:cs="Arial"/>
      <w:b w:val="false"/>
      <w:sz w:val="24"/>
      <w:szCs w:val="24"/>
    </w:rPr>
  </w:style>
  <w:style w:type="character" w:styleId="WW8Num21z4" w:customStyle="1">
    <w:name w:val="WW8Num21z4"/>
    <w:qFormat/>
    <w:rPr>
      <w:rFonts w:ascii="Courier New" w:hAnsi="Courier New" w:cs="Courier New"/>
    </w:rPr>
  </w:style>
  <w:style w:type="character" w:styleId="WW8Num21z5" w:customStyle="1">
    <w:name w:val="WW8Num21z5"/>
    <w:qFormat/>
    <w:rPr>
      <w:rFonts w:ascii="Wingdings" w:hAnsi="Wingdings" w:cs="Wingdings"/>
    </w:rPr>
  </w:style>
  <w:style w:type="character" w:styleId="WW8Num22z0" w:customStyle="1">
    <w:name w:val="WW8Num22z0"/>
    <w:qFormat/>
    <w:rPr>
      <w:rFonts w:ascii="Arial" w:hAnsi="Arial" w:eastAsia="SimSun" w:cs="Arial"/>
      <w:sz w:val="24"/>
      <w:szCs w:val="24"/>
      <w:lang w:bidi="hi-IN"/>
    </w:rPr>
  </w:style>
  <w:style w:type="character" w:styleId="WW8Num23z0" w:customStyle="1">
    <w:name w:val="WW8Num23z0"/>
    <w:qFormat/>
    <w:rPr>
      <w:rFonts w:ascii="Arial" w:hAnsi="Arial" w:eastAsia="SimSun" w:cs="Arial"/>
      <w:sz w:val="24"/>
    </w:rPr>
  </w:style>
  <w:style w:type="character" w:styleId="WW8Num24z0" w:customStyle="1">
    <w:name w:val="WW8Num24z0"/>
    <w:qFormat/>
    <w:rPr/>
  </w:style>
  <w:style w:type="character" w:styleId="WW8Num24z1" w:customStyle="1">
    <w:name w:val="WW8Num24z1"/>
    <w:qFormat/>
    <w:rPr/>
  </w:style>
  <w:style w:type="character" w:styleId="WW8Num24z2" w:customStyle="1">
    <w:name w:val="WW8Num24z2"/>
    <w:qFormat/>
    <w:rPr>
      <w:rFonts w:ascii="Arial" w:hAnsi="Arial" w:cs="Arial"/>
      <w:b/>
      <w:sz w:val="24"/>
    </w:rPr>
  </w:style>
  <w:style w:type="character" w:styleId="WW8Num24z3" w:customStyle="1">
    <w:name w:val="WW8Num24z3"/>
    <w:qFormat/>
    <w:rPr/>
  </w:style>
  <w:style w:type="character" w:styleId="WW8Num24z4" w:customStyle="1">
    <w:name w:val="WW8Num24z4"/>
    <w:qFormat/>
    <w:rPr/>
  </w:style>
  <w:style w:type="character" w:styleId="WW8Num24z5" w:customStyle="1">
    <w:name w:val="WW8Num24z5"/>
    <w:qFormat/>
    <w:rPr/>
  </w:style>
  <w:style w:type="character" w:styleId="WW8Num24z6" w:customStyle="1">
    <w:name w:val="WW8Num24z6"/>
    <w:qFormat/>
    <w:rPr/>
  </w:style>
  <w:style w:type="character" w:styleId="WW8Num24z7" w:customStyle="1">
    <w:name w:val="WW8Num24z7"/>
    <w:qFormat/>
    <w:rPr/>
  </w:style>
  <w:style w:type="character" w:styleId="WW8Num24z8" w:customStyle="1">
    <w:name w:val="WW8Num24z8"/>
    <w:qFormat/>
    <w:rPr/>
  </w:style>
  <w:style w:type="character" w:styleId="WW8Num25z0" w:customStyle="1">
    <w:name w:val="WW8Num25z0"/>
    <w:qFormat/>
    <w:rPr>
      <w:rFonts w:ascii="Symbol" w:hAnsi="Symbol" w:eastAsia="SimSun" w:cs="Symbol"/>
      <w:sz w:val="24"/>
      <w:szCs w:val="24"/>
      <w:shd w:fill="FFFFFF" w:val="clear"/>
      <w:lang w:bidi="hi-IN"/>
    </w:rPr>
  </w:style>
  <w:style w:type="character" w:styleId="WW8Num26z0" w:customStyle="1">
    <w:name w:val="WW8Num26z0"/>
    <w:qFormat/>
    <w:rPr>
      <w:rFonts w:ascii="Symbol" w:hAnsi="Symbol" w:cs="OpenSymbol"/>
    </w:rPr>
  </w:style>
  <w:style w:type="character" w:styleId="WW8Num26z1" w:customStyle="1">
    <w:name w:val="WW8Num26z1"/>
    <w:qFormat/>
    <w:rPr>
      <w:rFonts w:ascii="OpenSymbol" w:hAnsi="OpenSymbol" w:cs="OpenSymbol"/>
    </w:rPr>
  </w:style>
  <w:style w:type="character" w:styleId="WW8Num27z0" w:customStyle="1">
    <w:name w:val="WW8Num27z0"/>
    <w:qFormat/>
    <w:rPr>
      <w:rFonts w:ascii="Symbol" w:hAnsi="Symbol" w:cs="OpenSymbol"/>
    </w:rPr>
  </w:style>
  <w:style w:type="character" w:styleId="WW8Num27z1" w:customStyle="1">
    <w:name w:val="WW8Num27z1"/>
    <w:qFormat/>
    <w:rPr>
      <w:rFonts w:ascii="OpenSymbol" w:hAnsi="OpenSymbol" w:cs="OpenSymbol"/>
    </w:rPr>
  </w:style>
  <w:style w:type="character" w:styleId="WW8Num28z0" w:customStyle="1">
    <w:name w:val="WW8Num28z0"/>
    <w:qFormat/>
    <w:rPr>
      <w:rFonts w:ascii="Symbol" w:hAnsi="Symbol" w:cs="OpenSymbol"/>
    </w:rPr>
  </w:style>
  <w:style w:type="character" w:styleId="WW8Num28z1" w:customStyle="1">
    <w:name w:val="WW8Num28z1"/>
    <w:qFormat/>
    <w:rPr>
      <w:rFonts w:ascii="OpenSymbol" w:hAnsi="OpenSymbol" w:cs="OpenSymbol"/>
    </w:rPr>
  </w:style>
  <w:style w:type="character" w:styleId="WW8Num10z1" w:customStyle="1">
    <w:name w:val="WW8Num10z1"/>
    <w:qFormat/>
    <w:rPr/>
  </w:style>
  <w:style w:type="character" w:styleId="WW8Num10z3" w:customStyle="1">
    <w:name w:val="WW8Num10z3"/>
    <w:qFormat/>
    <w:rPr/>
  </w:style>
  <w:style w:type="character" w:styleId="WW8Num10z4" w:customStyle="1">
    <w:name w:val="WW8Num10z4"/>
    <w:qFormat/>
    <w:rPr/>
  </w:style>
  <w:style w:type="character" w:styleId="WW8Num10z5" w:customStyle="1">
    <w:name w:val="WW8Num10z5"/>
    <w:qFormat/>
    <w:rPr/>
  </w:style>
  <w:style w:type="character" w:styleId="WW8Num10z6" w:customStyle="1">
    <w:name w:val="WW8Num10z6"/>
    <w:qFormat/>
    <w:rPr/>
  </w:style>
  <w:style w:type="character" w:styleId="WW8Num10z7" w:customStyle="1">
    <w:name w:val="WW8Num10z7"/>
    <w:qFormat/>
    <w:rPr/>
  </w:style>
  <w:style w:type="character" w:styleId="WW8Num10z8" w:customStyle="1">
    <w:name w:val="WW8Num10z8"/>
    <w:qFormat/>
    <w:rPr/>
  </w:style>
  <w:style w:type="character" w:styleId="WW8Num11z1" w:customStyle="1">
    <w:name w:val="WW8Num11z1"/>
    <w:qFormat/>
    <w:rPr/>
  </w:style>
  <w:style w:type="character" w:styleId="WW8Num11z2" w:customStyle="1">
    <w:name w:val="WW8Num11z2"/>
    <w:qFormat/>
    <w:rPr/>
  </w:style>
  <w:style w:type="character" w:styleId="WW8Num11z3" w:customStyle="1">
    <w:name w:val="WW8Num11z3"/>
    <w:qFormat/>
    <w:rPr/>
  </w:style>
  <w:style w:type="character" w:styleId="WW8Num11z4" w:customStyle="1">
    <w:name w:val="WW8Num11z4"/>
    <w:qFormat/>
    <w:rPr/>
  </w:style>
  <w:style w:type="character" w:styleId="WW8Num11z5" w:customStyle="1">
    <w:name w:val="WW8Num11z5"/>
    <w:qFormat/>
    <w:rPr/>
  </w:style>
  <w:style w:type="character" w:styleId="WW8Num11z6" w:customStyle="1">
    <w:name w:val="WW8Num11z6"/>
    <w:qFormat/>
    <w:rPr/>
  </w:style>
  <w:style w:type="character" w:styleId="WW8Num11z7" w:customStyle="1">
    <w:name w:val="WW8Num11z7"/>
    <w:qFormat/>
    <w:rPr/>
  </w:style>
  <w:style w:type="character" w:styleId="WW8Num11z8" w:customStyle="1">
    <w:name w:val="WW8Num11z8"/>
    <w:qFormat/>
    <w:rPr/>
  </w:style>
  <w:style w:type="character" w:styleId="WW8Num12z2" w:customStyle="1">
    <w:name w:val="WW8Num12z2"/>
    <w:qFormat/>
    <w:rPr>
      <w:rFonts w:ascii="Times New Roman" w:hAnsi="Times New Roman" w:cs="Times New Roman"/>
    </w:rPr>
  </w:style>
  <w:style w:type="character" w:styleId="WW8Num14z1" w:customStyle="1">
    <w:name w:val="WW8Num14z1"/>
    <w:qFormat/>
    <w:rPr>
      <w:rFonts w:ascii="OpenSymbol" w:hAnsi="OpenSymbol" w:cs="OpenSymbol"/>
      <w:sz w:val="24"/>
      <w:szCs w:val="24"/>
    </w:rPr>
  </w:style>
  <w:style w:type="character" w:styleId="WW8Num15z2" w:customStyle="1">
    <w:name w:val="WW8Num15z2"/>
    <w:qFormat/>
    <w:rPr>
      <w:rFonts w:ascii="Times New Roman" w:hAnsi="Times New Roman" w:cs="Times New Roman"/>
    </w:rPr>
  </w:style>
  <w:style w:type="character" w:styleId="WW8Num22z1" w:customStyle="1">
    <w:name w:val="WW8Num22z1"/>
    <w:qFormat/>
    <w:rPr>
      <w:rFonts w:ascii="Arial" w:hAnsi="Arial" w:eastAsia="Times New Roman" w:cs="Arial"/>
      <w:b w:val="false"/>
      <w:bCs w:val="false"/>
    </w:rPr>
  </w:style>
  <w:style w:type="character" w:styleId="WW8Num22z2" w:customStyle="1">
    <w:name w:val="WW8Num22z2"/>
    <w:qFormat/>
    <w:rPr/>
  </w:style>
  <w:style w:type="character" w:styleId="WW8Num22z3" w:customStyle="1">
    <w:name w:val="WW8Num22z3"/>
    <w:qFormat/>
    <w:rPr/>
  </w:style>
  <w:style w:type="character" w:styleId="WW8Num22z4" w:customStyle="1">
    <w:name w:val="WW8Num22z4"/>
    <w:qFormat/>
    <w:rPr/>
  </w:style>
  <w:style w:type="character" w:styleId="WW8Num22z5" w:customStyle="1">
    <w:name w:val="WW8Num22z5"/>
    <w:qFormat/>
    <w:rPr/>
  </w:style>
  <w:style w:type="character" w:styleId="WW8Num22z6" w:customStyle="1">
    <w:name w:val="WW8Num22z6"/>
    <w:qFormat/>
    <w:rPr/>
  </w:style>
  <w:style w:type="character" w:styleId="WW8Num22z7" w:customStyle="1">
    <w:name w:val="WW8Num22z7"/>
    <w:qFormat/>
    <w:rPr/>
  </w:style>
  <w:style w:type="character" w:styleId="WW8Num22z8" w:customStyle="1">
    <w:name w:val="WW8Num22z8"/>
    <w:qFormat/>
    <w:rPr/>
  </w:style>
  <w:style w:type="character" w:styleId="WW8Num25z1" w:customStyle="1">
    <w:name w:val="WW8Num25z1"/>
    <w:qFormat/>
    <w:rPr/>
  </w:style>
  <w:style w:type="character" w:styleId="WW8Num25z2" w:customStyle="1">
    <w:name w:val="WW8Num25z2"/>
    <w:qFormat/>
    <w:rPr/>
  </w:style>
  <w:style w:type="character" w:styleId="WW8Num25z3" w:customStyle="1">
    <w:name w:val="WW8Num25z3"/>
    <w:qFormat/>
    <w:rPr/>
  </w:style>
  <w:style w:type="character" w:styleId="WW8Num25z4" w:customStyle="1">
    <w:name w:val="WW8Num25z4"/>
    <w:qFormat/>
    <w:rPr/>
  </w:style>
  <w:style w:type="character" w:styleId="WW8Num25z5" w:customStyle="1">
    <w:name w:val="WW8Num25z5"/>
    <w:qFormat/>
    <w:rPr/>
  </w:style>
  <w:style w:type="character" w:styleId="WW8Num25z6" w:customStyle="1">
    <w:name w:val="WW8Num25z6"/>
    <w:qFormat/>
    <w:rPr/>
  </w:style>
  <w:style w:type="character" w:styleId="WW8Num25z7" w:customStyle="1">
    <w:name w:val="WW8Num25z7"/>
    <w:qFormat/>
    <w:rPr/>
  </w:style>
  <w:style w:type="character" w:styleId="WW8Num25z8" w:customStyle="1">
    <w:name w:val="WW8Num25z8"/>
    <w:qFormat/>
    <w:rPr/>
  </w:style>
  <w:style w:type="character" w:styleId="WW8Num27z2" w:customStyle="1">
    <w:name w:val="WW8Num27z2"/>
    <w:qFormat/>
    <w:rPr/>
  </w:style>
  <w:style w:type="character" w:styleId="WW8Num27z3" w:customStyle="1">
    <w:name w:val="WW8Num27z3"/>
    <w:qFormat/>
    <w:rPr/>
  </w:style>
  <w:style w:type="character" w:styleId="WW8Num27z4" w:customStyle="1">
    <w:name w:val="WW8Num27z4"/>
    <w:qFormat/>
    <w:rPr/>
  </w:style>
  <w:style w:type="character" w:styleId="WW8Num27z5" w:customStyle="1">
    <w:name w:val="WW8Num27z5"/>
    <w:qFormat/>
    <w:rPr/>
  </w:style>
  <w:style w:type="character" w:styleId="WW8Num27z6" w:customStyle="1">
    <w:name w:val="WW8Num27z6"/>
    <w:qFormat/>
    <w:rPr/>
  </w:style>
  <w:style w:type="character" w:styleId="WW8Num27z7" w:customStyle="1">
    <w:name w:val="WW8Num27z7"/>
    <w:qFormat/>
    <w:rPr/>
  </w:style>
  <w:style w:type="character" w:styleId="WW8Num27z8" w:customStyle="1">
    <w:name w:val="WW8Num27z8"/>
    <w:qFormat/>
    <w:rPr/>
  </w:style>
  <w:style w:type="character" w:styleId="WW8Num28z2" w:customStyle="1">
    <w:name w:val="WW8Num28z2"/>
    <w:qFormat/>
    <w:rPr>
      <w:b w:val="false"/>
    </w:rPr>
  </w:style>
  <w:style w:type="character" w:styleId="WW8Num28z4" w:customStyle="1">
    <w:name w:val="WW8Num28z4"/>
    <w:qFormat/>
    <w:rPr>
      <w:rFonts w:ascii="Courier New" w:hAnsi="Courier New" w:cs="Courier New"/>
    </w:rPr>
  </w:style>
  <w:style w:type="character" w:styleId="WW8Num28z5" w:customStyle="1">
    <w:name w:val="WW8Num28z5"/>
    <w:qFormat/>
    <w:rPr>
      <w:rFonts w:ascii="Wingdings" w:hAnsi="Wingdings" w:cs="Wingdings"/>
    </w:rPr>
  </w:style>
  <w:style w:type="character" w:styleId="WW8Num29z0" w:customStyle="1">
    <w:name w:val="WW8Num29z0"/>
    <w:qFormat/>
    <w:rPr>
      <w:rFonts w:ascii="Arial" w:hAnsi="Arial" w:eastAsia="SimSun" w:cs="Arial"/>
      <w:sz w:val="24"/>
      <w:szCs w:val="24"/>
      <w:lang w:bidi="hi-IN"/>
    </w:rPr>
  </w:style>
  <w:style w:type="character" w:styleId="WW8Num30z0" w:customStyle="1">
    <w:name w:val="WW8Num30z0"/>
    <w:qFormat/>
    <w:rPr>
      <w:rFonts w:ascii="Arial" w:hAnsi="Arial" w:eastAsia="SimSun" w:cs="Arial"/>
      <w:sz w:val="24"/>
    </w:rPr>
  </w:style>
  <w:style w:type="character" w:styleId="WW8Num31z0" w:customStyle="1">
    <w:name w:val="WW8Num31z0"/>
    <w:qFormat/>
    <w:rPr/>
  </w:style>
  <w:style w:type="character" w:styleId="WW8Num31z1" w:customStyle="1">
    <w:name w:val="WW8Num31z1"/>
    <w:qFormat/>
    <w:rPr>
      <w:rFonts w:ascii="Arial" w:hAnsi="Arial" w:cs="Arial"/>
      <w:sz w:val="24"/>
      <w:szCs w:val="24"/>
    </w:rPr>
  </w:style>
  <w:style w:type="character" w:styleId="WW8Num31z2" w:customStyle="1">
    <w:name w:val="WW8Num31z2"/>
    <w:qFormat/>
    <w:rPr/>
  </w:style>
  <w:style w:type="character" w:styleId="WW8Num31z3" w:customStyle="1">
    <w:name w:val="WW8Num31z3"/>
    <w:qFormat/>
    <w:rPr/>
  </w:style>
  <w:style w:type="character" w:styleId="WW8Num31z4" w:customStyle="1">
    <w:name w:val="WW8Num31z4"/>
    <w:qFormat/>
    <w:rPr/>
  </w:style>
  <w:style w:type="character" w:styleId="WW8Num31z5" w:customStyle="1">
    <w:name w:val="WW8Num31z5"/>
    <w:qFormat/>
    <w:rPr/>
  </w:style>
  <w:style w:type="character" w:styleId="WW8Num31z6" w:customStyle="1">
    <w:name w:val="WW8Num31z6"/>
    <w:qFormat/>
    <w:rPr/>
  </w:style>
  <w:style w:type="character" w:styleId="WW8Num31z7" w:customStyle="1">
    <w:name w:val="WW8Num31z7"/>
    <w:qFormat/>
    <w:rPr/>
  </w:style>
  <w:style w:type="character" w:styleId="WW8Num31z8" w:customStyle="1">
    <w:name w:val="WW8Num31z8"/>
    <w:qFormat/>
    <w:rPr/>
  </w:style>
  <w:style w:type="character" w:styleId="WW8Num32z0" w:customStyle="1">
    <w:name w:val="WW8Num32z0"/>
    <w:qFormat/>
    <w:rPr/>
  </w:style>
  <w:style w:type="character" w:styleId="WW8Num32z1" w:customStyle="1">
    <w:name w:val="WW8Num32z1"/>
    <w:qFormat/>
    <w:rPr/>
  </w:style>
  <w:style w:type="character" w:styleId="WW8Num32z2" w:customStyle="1">
    <w:name w:val="WW8Num32z2"/>
    <w:qFormat/>
    <w:rPr>
      <w:rFonts w:ascii="Arial" w:hAnsi="Arial" w:cs="Arial"/>
      <w:b/>
      <w:sz w:val="24"/>
    </w:rPr>
  </w:style>
  <w:style w:type="character" w:styleId="WW8Num32z3" w:customStyle="1">
    <w:name w:val="WW8Num32z3"/>
    <w:qFormat/>
    <w:rPr/>
  </w:style>
  <w:style w:type="character" w:styleId="WW8Num32z4" w:customStyle="1">
    <w:name w:val="WW8Num32z4"/>
    <w:qFormat/>
    <w:rPr/>
  </w:style>
  <w:style w:type="character" w:styleId="WW8Num32z5" w:customStyle="1">
    <w:name w:val="WW8Num32z5"/>
    <w:qFormat/>
    <w:rPr/>
  </w:style>
  <w:style w:type="character" w:styleId="WW8Num32z6" w:customStyle="1">
    <w:name w:val="WW8Num32z6"/>
    <w:qFormat/>
    <w:rPr/>
  </w:style>
  <w:style w:type="character" w:styleId="WW8Num32z7" w:customStyle="1">
    <w:name w:val="WW8Num32z7"/>
    <w:qFormat/>
    <w:rPr/>
  </w:style>
  <w:style w:type="character" w:styleId="WW8Num32z8" w:customStyle="1">
    <w:name w:val="WW8Num32z8"/>
    <w:qFormat/>
    <w:rPr/>
  </w:style>
  <w:style w:type="character" w:styleId="WW8Num33z0" w:customStyle="1">
    <w:name w:val="WW8Num33z0"/>
    <w:qFormat/>
    <w:rPr>
      <w:rFonts w:ascii="Symbol" w:hAnsi="Symbol" w:cs="Symbol"/>
      <w:sz w:val="24"/>
      <w:szCs w:val="24"/>
      <w:shd w:fill="FFFFFF" w:val="clear"/>
      <w:lang w:bidi="hi-IN"/>
    </w:rPr>
  </w:style>
  <w:style w:type="character" w:styleId="WW8Num4z2" w:customStyle="1">
    <w:name w:val="WW8Num4z2"/>
    <w:qFormat/>
    <w:rPr>
      <w:rFonts w:ascii="Times New Roman" w:hAnsi="Times New Roman" w:cs="Times New Roman"/>
    </w:rPr>
  </w:style>
  <w:style w:type="character" w:styleId="WW8Num5z1" w:customStyle="1">
    <w:name w:val="WW8Num5z1"/>
    <w:qFormat/>
    <w:rPr>
      <w:rFonts w:ascii="Arial" w:hAnsi="Arial" w:eastAsia="SimSun" w:cs="Arial"/>
      <w:b/>
      <w:bCs/>
      <w:sz w:val="24"/>
      <w:szCs w:val="24"/>
      <w:lang w:bidi="hi-IN"/>
    </w:rPr>
  </w:style>
  <w:style w:type="character" w:styleId="WW8Num13z1" w:customStyle="1">
    <w:name w:val="WW8Num13z1"/>
    <w:qFormat/>
    <w:rPr>
      <w:rFonts w:ascii="OpenSymbol" w:hAnsi="OpenSymbol" w:cs="OpenSymbol"/>
      <w:sz w:val="24"/>
      <w:szCs w:val="24"/>
    </w:rPr>
  </w:style>
  <w:style w:type="character" w:styleId="WW8Num14z2" w:customStyle="1">
    <w:name w:val="WW8Num14z2"/>
    <w:qFormat/>
    <w:rPr>
      <w:rFonts w:ascii="Times New Roman" w:hAnsi="Times New Roman" w:cs="Times New Roman"/>
    </w:rPr>
  </w:style>
  <w:style w:type="character" w:styleId="WW8Num17z1" w:customStyle="1">
    <w:name w:val="WW8Num17z1"/>
    <w:qFormat/>
    <w:rPr>
      <w:rFonts w:ascii="OpenSymbol" w:hAnsi="OpenSymbol" w:cs="OpenSymbol"/>
      <w:sz w:val="24"/>
      <w:szCs w:val="24"/>
    </w:rPr>
  </w:style>
  <w:style w:type="character" w:styleId="WW8Num21z3" w:customStyle="1">
    <w:name w:val="WW8Num21z3"/>
    <w:qFormat/>
    <w:rPr/>
  </w:style>
  <w:style w:type="character" w:styleId="WW8Num21z6" w:customStyle="1">
    <w:name w:val="WW8Num21z6"/>
    <w:qFormat/>
    <w:rPr/>
  </w:style>
  <w:style w:type="character" w:styleId="WW8Num21z7" w:customStyle="1">
    <w:name w:val="WW8Num21z7"/>
    <w:qFormat/>
    <w:rPr/>
  </w:style>
  <w:style w:type="character" w:styleId="WW8Num21z8" w:customStyle="1">
    <w:name w:val="WW8Num21z8"/>
    <w:qFormat/>
    <w:rPr/>
  </w:style>
  <w:style w:type="character" w:styleId="WW8Num23z1" w:customStyle="1">
    <w:name w:val="WW8Num23z1"/>
    <w:qFormat/>
    <w:rPr/>
  </w:style>
  <w:style w:type="character" w:styleId="WW8Num23z2" w:customStyle="1">
    <w:name w:val="WW8Num23z2"/>
    <w:qFormat/>
    <w:rPr/>
  </w:style>
  <w:style w:type="character" w:styleId="WW8Num23z3" w:customStyle="1">
    <w:name w:val="WW8Num23z3"/>
    <w:qFormat/>
    <w:rPr/>
  </w:style>
  <w:style w:type="character" w:styleId="WW8Num23z4" w:customStyle="1">
    <w:name w:val="WW8Num23z4"/>
    <w:qFormat/>
    <w:rPr/>
  </w:style>
  <w:style w:type="character" w:styleId="WW8Num23z5" w:customStyle="1">
    <w:name w:val="WW8Num23z5"/>
    <w:qFormat/>
    <w:rPr/>
  </w:style>
  <w:style w:type="character" w:styleId="WW8Num23z6" w:customStyle="1">
    <w:name w:val="WW8Num23z6"/>
    <w:qFormat/>
    <w:rPr/>
  </w:style>
  <w:style w:type="character" w:styleId="WW8Num23z7" w:customStyle="1">
    <w:name w:val="WW8Num23z7"/>
    <w:qFormat/>
    <w:rPr/>
  </w:style>
  <w:style w:type="character" w:styleId="WW8Num23z8" w:customStyle="1">
    <w:name w:val="WW8Num23z8"/>
    <w:qFormat/>
    <w:rPr/>
  </w:style>
  <w:style w:type="character" w:styleId="WW8Num26z2" w:customStyle="1">
    <w:name w:val="WW8Num26z2"/>
    <w:qFormat/>
    <w:rPr/>
  </w:style>
  <w:style w:type="character" w:styleId="WW8Num26z3" w:customStyle="1">
    <w:name w:val="WW8Num26z3"/>
    <w:qFormat/>
    <w:rPr/>
  </w:style>
  <w:style w:type="character" w:styleId="WW8Num26z4" w:customStyle="1">
    <w:name w:val="WW8Num26z4"/>
    <w:qFormat/>
    <w:rPr/>
  </w:style>
  <w:style w:type="character" w:styleId="WW8Num26z5" w:customStyle="1">
    <w:name w:val="WW8Num26z5"/>
    <w:qFormat/>
    <w:rPr/>
  </w:style>
  <w:style w:type="character" w:styleId="WW8Num26z6" w:customStyle="1">
    <w:name w:val="WW8Num26z6"/>
    <w:qFormat/>
    <w:rPr/>
  </w:style>
  <w:style w:type="character" w:styleId="WW8Num26z7" w:customStyle="1">
    <w:name w:val="WW8Num26z7"/>
    <w:qFormat/>
    <w:rPr/>
  </w:style>
  <w:style w:type="character" w:styleId="WW8Num26z8" w:customStyle="1">
    <w:name w:val="WW8Num26z8"/>
    <w:qFormat/>
    <w:rPr/>
  </w:style>
  <w:style w:type="character" w:styleId="WW8Num30z1" w:customStyle="1">
    <w:name w:val="WW8Num30z1"/>
    <w:qFormat/>
    <w:rPr>
      <w:rFonts w:ascii="Arial" w:hAnsi="Arial" w:cs="Arial"/>
      <w:sz w:val="24"/>
      <w:szCs w:val="24"/>
    </w:rPr>
  </w:style>
  <w:style w:type="character" w:styleId="WW8Num30z2" w:customStyle="1">
    <w:name w:val="WW8Num30z2"/>
    <w:qFormat/>
    <w:rPr/>
  </w:style>
  <w:style w:type="character" w:styleId="WW8Num30z3" w:customStyle="1">
    <w:name w:val="WW8Num30z3"/>
    <w:qFormat/>
    <w:rPr/>
  </w:style>
  <w:style w:type="character" w:styleId="WW8Num30z4" w:customStyle="1">
    <w:name w:val="WW8Num30z4"/>
    <w:qFormat/>
    <w:rPr/>
  </w:style>
  <w:style w:type="character" w:styleId="WW8Num30z5" w:customStyle="1">
    <w:name w:val="WW8Num30z5"/>
    <w:qFormat/>
    <w:rPr/>
  </w:style>
  <w:style w:type="character" w:styleId="WW8Num30z6" w:customStyle="1">
    <w:name w:val="WW8Num30z6"/>
    <w:qFormat/>
    <w:rPr/>
  </w:style>
  <w:style w:type="character" w:styleId="WW8Num30z7" w:customStyle="1">
    <w:name w:val="WW8Num30z7"/>
    <w:qFormat/>
    <w:rPr/>
  </w:style>
  <w:style w:type="character" w:styleId="WW8Num30z8" w:customStyle="1">
    <w:name w:val="WW8Num30z8"/>
    <w:qFormat/>
    <w:rPr/>
  </w:style>
  <w:style w:type="character" w:styleId="Fontepargpadro1" w:customStyle="1">
    <w:name w:val="Fonte parág. padrão1"/>
    <w:qFormat/>
    <w:rPr/>
  </w:style>
  <w:style w:type="character" w:styleId="WW8Num3z2" w:customStyle="1">
    <w:name w:val="WW8Num3z2"/>
    <w:qFormat/>
    <w:rPr>
      <w:rFonts w:ascii="Times New Roman" w:hAnsi="Times New Roman" w:cs="Times New Roman"/>
    </w:rPr>
  </w:style>
  <w:style w:type="character" w:styleId="WW8Num4z1" w:customStyle="1">
    <w:name w:val="WW8Num4z1"/>
    <w:qFormat/>
    <w:rPr/>
  </w:style>
  <w:style w:type="character" w:styleId="WW8Num4z3" w:customStyle="1">
    <w:name w:val="WW8Num4z3"/>
    <w:qFormat/>
    <w:rPr/>
  </w:style>
  <w:style w:type="character" w:styleId="WW8Num4z4" w:customStyle="1">
    <w:name w:val="WW8Num4z4"/>
    <w:qFormat/>
    <w:rPr/>
  </w:style>
  <w:style w:type="character" w:styleId="WW8Num4z5" w:customStyle="1">
    <w:name w:val="WW8Num4z5"/>
    <w:qFormat/>
    <w:rPr/>
  </w:style>
  <w:style w:type="character" w:styleId="WW8Num4z6" w:customStyle="1">
    <w:name w:val="WW8Num4z6"/>
    <w:qFormat/>
    <w:rPr/>
  </w:style>
  <w:style w:type="character" w:styleId="WW8Num4z7" w:customStyle="1">
    <w:name w:val="WW8Num4z7"/>
    <w:qFormat/>
    <w:rPr/>
  </w:style>
  <w:style w:type="character" w:styleId="WW8Num4z8" w:customStyle="1">
    <w:name w:val="WW8Num4z8"/>
    <w:qFormat/>
    <w:rPr/>
  </w:style>
  <w:style w:type="character" w:styleId="WW8Num6z2" w:customStyle="1">
    <w:name w:val="WW8Num6z2"/>
    <w:qFormat/>
    <w:rPr/>
  </w:style>
  <w:style w:type="character" w:styleId="WW8Num6z3" w:customStyle="1">
    <w:name w:val="WW8Num6z3"/>
    <w:qFormat/>
    <w:rPr/>
  </w:style>
  <w:style w:type="character" w:styleId="WW8Num6z4" w:customStyle="1">
    <w:name w:val="WW8Num6z4"/>
    <w:qFormat/>
    <w:rPr/>
  </w:style>
  <w:style w:type="character" w:styleId="WW8Num6z5" w:customStyle="1">
    <w:name w:val="WW8Num6z5"/>
    <w:qFormat/>
    <w:rPr/>
  </w:style>
  <w:style w:type="character" w:styleId="WW8Num6z6" w:customStyle="1">
    <w:name w:val="WW8Num6z6"/>
    <w:qFormat/>
    <w:rPr/>
  </w:style>
  <w:style w:type="character" w:styleId="WW8Num6z7" w:customStyle="1">
    <w:name w:val="WW8Num6z7"/>
    <w:qFormat/>
    <w:rPr/>
  </w:style>
  <w:style w:type="character" w:styleId="WW8Num6z8" w:customStyle="1">
    <w:name w:val="WW8Num6z8"/>
    <w:qFormat/>
    <w:rPr/>
  </w:style>
  <w:style w:type="character" w:styleId="WW8Num7z1" w:customStyle="1">
    <w:name w:val="WW8Num7z1"/>
    <w:qFormat/>
    <w:rPr>
      <w:rFonts w:ascii="Courier New" w:hAnsi="Courier New" w:cs="Courier New"/>
    </w:rPr>
  </w:style>
  <w:style w:type="character" w:styleId="WW8Num7z2" w:customStyle="1">
    <w:name w:val="WW8Num7z2"/>
    <w:qFormat/>
    <w:rPr>
      <w:rFonts w:ascii="Wingdings" w:hAnsi="Wingdings" w:cs="Wingdings"/>
    </w:rPr>
  </w:style>
  <w:style w:type="character" w:styleId="WW8Num16z1" w:customStyle="1">
    <w:name w:val="WW8Num16z1"/>
    <w:qFormat/>
    <w:rPr/>
  </w:style>
  <w:style w:type="character" w:styleId="WW8Num16z2" w:customStyle="1">
    <w:name w:val="WW8Num16z2"/>
    <w:qFormat/>
    <w:rPr/>
  </w:style>
  <w:style w:type="character" w:styleId="WW8Num16z3" w:customStyle="1">
    <w:name w:val="WW8Num16z3"/>
    <w:qFormat/>
    <w:rPr/>
  </w:style>
  <w:style w:type="character" w:styleId="WW8Num16z4" w:customStyle="1">
    <w:name w:val="WW8Num16z4"/>
    <w:qFormat/>
    <w:rPr/>
  </w:style>
  <w:style w:type="character" w:styleId="WW8Num16z5" w:customStyle="1">
    <w:name w:val="WW8Num16z5"/>
    <w:qFormat/>
    <w:rPr/>
  </w:style>
  <w:style w:type="character" w:styleId="WW8Num16z6" w:customStyle="1">
    <w:name w:val="WW8Num16z6"/>
    <w:qFormat/>
    <w:rPr/>
  </w:style>
  <w:style w:type="character" w:styleId="WW8Num16z7" w:customStyle="1">
    <w:name w:val="WW8Num16z7"/>
    <w:qFormat/>
    <w:rPr/>
  </w:style>
  <w:style w:type="character" w:styleId="WW8Num16z8" w:customStyle="1">
    <w:name w:val="WW8Num16z8"/>
    <w:qFormat/>
    <w:rPr/>
  </w:style>
  <w:style w:type="character" w:styleId="WW8Num17z3" w:customStyle="1">
    <w:name w:val="WW8Num17z3"/>
    <w:qFormat/>
    <w:rPr/>
  </w:style>
  <w:style w:type="character" w:styleId="WW8Num17z4" w:customStyle="1">
    <w:name w:val="WW8Num17z4"/>
    <w:qFormat/>
    <w:rPr/>
  </w:style>
  <w:style w:type="character" w:styleId="WW8Num17z5" w:customStyle="1">
    <w:name w:val="WW8Num17z5"/>
    <w:qFormat/>
    <w:rPr/>
  </w:style>
  <w:style w:type="character" w:styleId="WW8Num17z6" w:customStyle="1">
    <w:name w:val="WW8Num17z6"/>
    <w:qFormat/>
    <w:rPr/>
  </w:style>
  <w:style w:type="character" w:styleId="WW8Num17z7" w:customStyle="1">
    <w:name w:val="WW8Num17z7"/>
    <w:qFormat/>
    <w:rPr/>
  </w:style>
  <w:style w:type="character" w:styleId="WW8Num17z8" w:customStyle="1">
    <w:name w:val="WW8Num17z8"/>
    <w:qFormat/>
    <w:rPr/>
  </w:style>
  <w:style w:type="character" w:styleId="WW8Num28z3" w:customStyle="1">
    <w:name w:val="WW8Num28z3"/>
    <w:qFormat/>
    <w:rPr/>
  </w:style>
  <w:style w:type="character" w:styleId="WW8Num28z6" w:customStyle="1">
    <w:name w:val="WW8Num28z6"/>
    <w:qFormat/>
    <w:rPr/>
  </w:style>
  <w:style w:type="character" w:styleId="WW8Num28z7" w:customStyle="1">
    <w:name w:val="WW8Num28z7"/>
    <w:qFormat/>
    <w:rPr/>
  </w:style>
  <w:style w:type="character" w:styleId="WW8Num28z8" w:customStyle="1">
    <w:name w:val="WW8Num28z8"/>
    <w:qFormat/>
    <w:rPr/>
  </w:style>
  <w:style w:type="character" w:styleId="WW8Num29z1" w:customStyle="1">
    <w:name w:val="WW8Num29z1"/>
    <w:qFormat/>
    <w:rPr>
      <w:color w:val="000000"/>
    </w:rPr>
  </w:style>
  <w:style w:type="character" w:styleId="WW8Num29z2" w:customStyle="1">
    <w:name w:val="WW8Num29z2"/>
    <w:qFormat/>
    <w:rPr>
      <w:b w:val="false"/>
    </w:rPr>
  </w:style>
  <w:style w:type="character" w:styleId="WW8Num29z4" w:customStyle="1">
    <w:name w:val="WW8Num29z4"/>
    <w:qFormat/>
    <w:rPr>
      <w:rFonts w:ascii="Courier New" w:hAnsi="Courier New" w:cs="Courier New"/>
    </w:rPr>
  </w:style>
  <w:style w:type="character" w:styleId="WW8Num29z5" w:customStyle="1">
    <w:name w:val="WW8Num29z5"/>
    <w:qFormat/>
    <w:rPr>
      <w:rFonts w:ascii="Wingdings" w:hAnsi="Wingdings" w:cs="Wingdings"/>
    </w:rPr>
  </w:style>
  <w:style w:type="character" w:styleId="WW8Num33z1" w:customStyle="1">
    <w:name w:val="WW8Num33z1"/>
    <w:qFormat/>
    <w:rPr/>
  </w:style>
  <w:style w:type="character" w:styleId="WW8Num33z2" w:customStyle="1">
    <w:name w:val="WW8Num33z2"/>
    <w:qFormat/>
    <w:rPr>
      <w:rFonts w:ascii="Arial" w:hAnsi="Arial" w:cs="Arial"/>
      <w:b/>
      <w:sz w:val="24"/>
    </w:rPr>
  </w:style>
  <w:style w:type="character" w:styleId="WW8Num33z3" w:customStyle="1">
    <w:name w:val="WW8Num33z3"/>
    <w:qFormat/>
    <w:rPr/>
  </w:style>
  <w:style w:type="character" w:styleId="WW8Num33z4" w:customStyle="1">
    <w:name w:val="WW8Num33z4"/>
    <w:qFormat/>
    <w:rPr/>
  </w:style>
  <w:style w:type="character" w:styleId="WW8Num33z5" w:customStyle="1">
    <w:name w:val="WW8Num33z5"/>
    <w:qFormat/>
    <w:rPr/>
  </w:style>
  <w:style w:type="character" w:styleId="WW8Num33z6" w:customStyle="1">
    <w:name w:val="WW8Num33z6"/>
    <w:qFormat/>
    <w:rPr/>
  </w:style>
  <w:style w:type="character" w:styleId="WW8Num33z7" w:customStyle="1">
    <w:name w:val="WW8Num33z7"/>
    <w:qFormat/>
    <w:rPr/>
  </w:style>
  <w:style w:type="character" w:styleId="WW8Num33z8" w:customStyle="1">
    <w:name w:val="WW8Num33z8"/>
    <w:qFormat/>
    <w:rPr/>
  </w:style>
  <w:style w:type="character" w:styleId="WW8Num34z0" w:customStyle="1">
    <w:name w:val="WW8Num34z0"/>
    <w:qFormat/>
    <w:rPr>
      <w:rFonts w:ascii="Symbol" w:hAnsi="Symbol" w:cs="Symbol"/>
      <w:sz w:val="24"/>
      <w:szCs w:val="24"/>
    </w:rPr>
  </w:style>
  <w:style w:type="character" w:styleId="WW8Num34z1" w:customStyle="1">
    <w:name w:val="WW8Num34z1"/>
    <w:qFormat/>
    <w:rPr>
      <w:rFonts w:ascii="Courier New" w:hAnsi="Courier New" w:cs="Courier New"/>
    </w:rPr>
  </w:style>
  <w:style w:type="character" w:styleId="WW8Num34z2" w:customStyle="1">
    <w:name w:val="WW8Num34z2"/>
    <w:qFormat/>
    <w:rPr>
      <w:rFonts w:ascii="Wingdings" w:hAnsi="Wingdings" w:cs="Wingdings"/>
    </w:rPr>
  </w:style>
  <w:style w:type="character" w:styleId="Fontepargpadro2" w:customStyle="1">
    <w:name w:val="Fonte parág. padrão2"/>
    <w:qFormat/>
    <w:rPr/>
  </w:style>
  <w:style w:type="character" w:styleId="WW8Num5z3" w:customStyle="1">
    <w:name w:val="WW8Num5z3"/>
    <w:qFormat/>
    <w:rPr/>
  </w:style>
  <w:style w:type="character" w:styleId="WW8Num5z4" w:customStyle="1">
    <w:name w:val="WW8Num5z4"/>
    <w:qFormat/>
    <w:rPr/>
  </w:style>
  <w:style w:type="character" w:styleId="WW8Num5z5" w:customStyle="1">
    <w:name w:val="WW8Num5z5"/>
    <w:qFormat/>
    <w:rPr/>
  </w:style>
  <w:style w:type="character" w:styleId="WW8Num5z6" w:customStyle="1">
    <w:name w:val="WW8Num5z6"/>
    <w:qFormat/>
    <w:rPr/>
  </w:style>
  <w:style w:type="character" w:styleId="WW8Num5z7" w:customStyle="1">
    <w:name w:val="WW8Num5z7"/>
    <w:qFormat/>
    <w:rPr/>
  </w:style>
  <w:style w:type="character" w:styleId="WW8Num5z8" w:customStyle="1">
    <w:name w:val="WW8Num5z8"/>
    <w:qFormat/>
    <w:rPr/>
  </w:style>
  <w:style w:type="character" w:styleId="WW8Num15z3" w:customStyle="1">
    <w:name w:val="WW8Num15z3"/>
    <w:qFormat/>
    <w:rPr/>
  </w:style>
  <w:style w:type="character" w:styleId="WW8Num15z4" w:customStyle="1">
    <w:name w:val="WW8Num15z4"/>
    <w:qFormat/>
    <w:rPr/>
  </w:style>
  <w:style w:type="character" w:styleId="WW8Num15z5" w:customStyle="1">
    <w:name w:val="WW8Num15z5"/>
    <w:qFormat/>
    <w:rPr/>
  </w:style>
  <w:style w:type="character" w:styleId="WW8Num15z6" w:customStyle="1">
    <w:name w:val="WW8Num15z6"/>
    <w:qFormat/>
    <w:rPr/>
  </w:style>
  <w:style w:type="character" w:styleId="WW8Num15z7" w:customStyle="1">
    <w:name w:val="WW8Num15z7"/>
    <w:qFormat/>
    <w:rPr/>
  </w:style>
  <w:style w:type="character" w:styleId="WW8Num15z8" w:customStyle="1">
    <w:name w:val="WW8Num15z8"/>
    <w:qFormat/>
    <w:rPr/>
  </w:style>
  <w:style w:type="character" w:styleId="Strong">
    <w:name w:val="Strong"/>
    <w:qFormat/>
    <w:rPr>
      <w:b/>
      <w:bCs/>
    </w:rPr>
  </w:style>
  <w:style w:type="character" w:styleId="Ttulo1Char" w:customStyle="1">
    <w:name w:val="Título 1 Char"/>
    <w:basedOn w:val="Fontepargpadro1"/>
    <w:qFormat/>
    <w:rPr/>
  </w:style>
  <w:style w:type="character" w:styleId="LinkdaInternet">
    <w:name w:val="Link da Internet"/>
    <w:uiPriority w:val="99"/>
    <w:rPr>
      <w:color w:val="000080"/>
      <w:u w:val="single"/>
    </w:rPr>
  </w:style>
  <w:style w:type="character" w:styleId="ListLabel1" w:customStyle="1">
    <w:name w:val="ListLabel 1"/>
    <w:qFormat/>
    <w:rPr>
      <w:rFonts w:cs="Symbol"/>
    </w:rPr>
  </w:style>
  <w:style w:type="character" w:styleId="ListLabel2" w:customStyle="1">
    <w:name w:val="ListLabel 2"/>
    <w:qFormat/>
    <w:rPr>
      <w:rFonts w:cs="Symbol"/>
      <w:sz w:val="24"/>
      <w:szCs w:val="24"/>
    </w:rPr>
  </w:style>
  <w:style w:type="character" w:styleId="ListLabel3" w:customStyle="1">
    <w:name w:val="ListLabel 3"/>
    <w:qFormat/>
    <w:rPr>
      <w:rFonts w:cs="Times New Roman"/>
    </w:rPr>
  </w:style>
  <w:style w:type="character" w:styleId="ListLabel4" w:customStyle="1">
    <w:name w:val="ListLabel 4"/>
    <w:qFormat/>
    <w:rPr>
      <w:rFonts w:cs="Symbol"/>
      <w:sz w:val="28"/>
      <w:szCs w:val="28"/>
    </w:rPr>
  </w:style>
  <w:style w:type="character" w:styleId="ListLabel5" w:customStyle="1">
    <w:name w:val="ListLabel 5"/>
    <w:qFormat/>
    <w:rPr>
      <w:rFonts w:cs="OpenSymbol"/>
      <w:sz w:val="24"/>
      <w:szCs w:val="24"/>
    </w:rPr>
  </w:style>
  <w:style w:type="character" w:styleId="ListLabel6" w:customStyle="1">
    <w:name w:val="ListLabel 6"/>
    <w:qFormat/>
    <w:rPr>
      <w:rFonts w:cs="Symbol"/>
    </w:rPr>
  </w:style>
  <w:style w:type="character" w:styleId="ListLabel7" w:customStyle="1">
    <w:name w:val="ListLabel 7"/>
    <w:qFormat/>
    <w:rPr>
      <w:rFonts w:cs="Symbol"/>
      <w:sz w:val="24"/>
      <w:szCs w:val="24"/>
    </w:rPr>
  </w:style>
  <w:style w:type="character" w:styleId="ListLabel8" w:customStyle="1">
    <w:name w:val="ListLabel 8"/>
    <w:qFormat/>
    <w:rPr>
      <w:rFonts w:cs="Times New Roman"/>
    </w:rPr>
  </w:style>
  <w:style w:type="character" w:styleId="ListLabel9" w:customStyle="1">
    <w:name w:val="ListLabel 9"/>
    <w:qFormat/>
    <w:rPr>
      <w:rFonts w:cs="Symbol"/>
      <w:sz w:val="28"/>
      <w:szCs w:val="28"/>
    </w:rPr>
  </w:style>
  <w:style w:type="character" w:styleId="ListLabel10" w:customStyle="1">
    <w:name w:val="ListLabel 10"/>
    <w:qFormat/>
    <w:rPr>
      <w:rFonts w:cs="OpenSymbol"/>
      <w:sz w:val="24"/>
      <w:szCs w:val="24"/>
    </w:rPr>
  </w:style>
  <w:style w:type="character" w:styleId="ListLabel11" w:customStyle="1">
    <w:name w:val="ListLabel 11"/>
    <w:qFormat/>
    <w:rPr>
      <w:rFonts w:cs="Symbol"/>
    </w:rPr>
  </w:style>
  <w:style w:type="character" w:styleId="ListLabel12" w:customStyle="1">
    <w:name w:val="ListLabel 12"/>
    <w:qFormat/>
    <w:rPr>
      <w:rFonts w:cs="Symbol"/>
      <w:sz w:val="24"/>
      <w:szCs w:val="24"/>
    </w:rPr>
  </w:style>
  <w:style w:type="character" w:styleId="ListLabel13" w:customStyle="1">
    <w:name w:val="ListLabel 13"/>
    <w:qFormat/>
    <w:rPr>
      <w:rFonts w:cs="Times New Roman"/>
    </w:rPr>
  </w:style>
  <w:style w:type="character" w:styleId="ListLabel14" w:customStyle="1">
    <w:name w:val="ListLabel 14"/>
    <w:qFormat/>
    <w:rPr>
      <w:rFonts w:cs="Symbol"/>
      <w:sz w:val="28"/>
      <w:szCs w:val="28"/>
    </w:rPr>
  </w:style>
  <w:style w:type="character" w:styleId="ListLabel15" w:customStyle="1">
    <w:name w:val="ListLabel 15"/>
    <w:qFormat/>
    <w:rPr>
      <w:rFonts w:cs="OpenSymbol"/>
      <w:sz w:val="24"/>
      <w:szCs w:val="24"/>
    </w:rPr>
  </w:style>
  <w:style w:type="character" w:styleId="Marcas" w:customStyle="1">
    <w:name w:val="Marcas"/>
    <w:qFormat/>
    <w:rPr>
      <w:rFonts w:ascii="OpenSymbol" w:hAnsi="OpenSymbol" w:eastAsia="OpenSymbol" w:cs="OpenSymbol"/>
    </w:rPr>
  </w:style>
  <w:style w:type="character" w:styleId="ListLabel16" w:customStyle="1">
    <w:name w:val="ListLabel 16"/>
    <w:qFormat/>
    <w:rPr>
      <w:rFonts w:cs="Symbol"/>
    </w:rPr>
  </w:style>
  <w:style w:type="character" w:styleId="ListLabel17" w:customStyle="1">
    <w:name w:val="ListLabel 17"/>
    <w:qFormat/>
    <w:rPr>
      <w:rFonts w:cs="Symbol"/>
      <w:sz w:val="24"/>
      <w:szCs w:val="24"/>
    </w:rPr>
  </w:style>
  <w:style w:type="character" w:styleId="ListLabel18" w:customStyle="1">
    <w:name w:val="ListLabel 18"/>
    <w:qFormat/>
    <w:rPr>
      <w:rFonts w:cs="Times New Roman"/>
    </w:rPr>
  </w:style>
  <w:style w:type="character" w:styleId="ListLabel19" w:customStyle="1">
    <w:name w:val="ListLabel 19"/>
    <w:qFormat/>
    <w:rPr>
      <w:rFonts w:cs="Symbol"/>
      <w:sz w:val="28"/>
      <w:szCs w:val="28"/>
    </w:rPr>
  </w:style>
  <w:style w:type="character" w:styleId="ListLabel20" w:customStyle="1">
    <w:name w:val="ListLabel 20"/>
    <w:qFormat/>
    <w:rPr>
      <w:rFonts w:cs="OpenSymbol"/>
      <w:sz w:val="24"/>
      <w:szCs w:val="24"/>
    </w:rPr>
  </w:style>
  <w:style w:type="character" w:styleId="FollowedHyperlink">
    <w:name w:val="FollowedHyperlink"/>
    <w:qFormat/>
    <w:rPr>
      <w:color w:val="800080"/>
      <w:u w:val="single"/>
    </w:rPr>
  </w:style>
  <w:style w:type="character" w:styleId="ListLabel21" w:customStyle="1">
    <w:name w:val="ListLabel 21"/>
    <w:qFormat/>
    <w:rPr>
      <w:rFonts w:cs="Symbol"/>
    </w:rPr>
  </w:style>
  <w:style w:type="character" w:styleId="ListLabel22" w:customStyle="1">
    <w:name w:val="ListLabel 22"/>
    <w:qFormat/>
    <w:rPr>
      <w:rFonts w:cs="Symbol"/>
      <w:sz w:val="24"/>
      <w:szCs w:val="24"/>
    </w:rPr>
  </w:style>
  <w:style w:type="character" w:styleId="ListLabel23" w:customStyle="1">
    <w:name w:val="ListLabel 23"/>
    <w:qFormat/>
    <w:rPr>
      <w:rFonts w:cs="Times New Roman"/>
    </w:rPr>
  </w:style>
  <w:style w:type="character" w:styleId="ListLabel24" w:customStyle="1">
    <w:name w:val="ListLabel 24"/>
    <w:qFormat/>
    <w:rPr>
      <w:rFonts w:cs="Symbol"/>
      <w:sz w:val="28"/>
      <w:szCs w:val="28"/>
    </w:rPr>
  </w:style>
  <w:style w:type="character" w:styleId="ListLabel25" w:customStyle="1">
    <w:name w:val="ListLabel 25"/>
    <w:qFormat/>
    <w:rPr>
      <w:rFonts w:cs="OpenSymbol"/>
      <w:sz w:val="24"/>
      <w:szCs w:val="24"/>
    </w:rPr>
  </w:style>
  <w:style w:type="character" w:styleId="Nfase">
    <w:name w:val="Ênfase"/>
    <w:qFormat/>
    <w:rPr>
      <w:i/>
      <w:iCs/>
    </w:rPr>
  </w:style>
  <w:style w:type="character" w:styleId="ListLabel26" w:customStyle="1">
    <w:name w:val="ListLabel 26"/>
    <w:qFormat/>
    <w:rPr>
      <w:rFonts w:cs="Symbol"/>
    </w:rPr>
  </w:style>
  <w:style w:type="character" w:styleId="ListLabel27" w:customStyle="1">
    <w:name w:val="ListLabel 27"/>
    <w:qFormat/>
    <w:rPr>
      <w:rFonts w:cs="Symbol"/>
      <w:sz w:val="24"/>
      <w:szCs w:val="24"/>
    </w:rPr>
  </w:style>
  <w:style w:type="character" w:styleId="ListLabel28" w:customStyle="1">
    <w:name w:val="ListLabel 28"/>
    <w:qFormat/>
    <w:rPr>
      <w:rFonts w:cs="Times New Roman"/>
    </w:rPr>
  </w:style>
  <w:style w:type="character" w:styleId="ListLabel29" w:customStyle="1">
    <w:name w:val="ListLabel 29"/>
    <w:qFormat/>
    <w:rPr>
      <w:rFonts w:cs="Symbol"/>
      <w:sz w:val="28"/>
      <w:szCs w:val="28"/>
    </w:rPr>
  </w:style>
  <w:style w:type="character" w:styleId="ListLabel30" w:customStyle="1">
    <w:name w:val="ListLabel 30"/>
    <w:qFormat/>
    <w:rPr>
      <w:rFonts w:cs="OpenSymbol"/>
      <w:sz w:val="24"/>
      <w:szCs w:val="24"/>
    </w:rPr>
  </w:style>
  <w:style w:type="character" w:styleId="ListLabel31" w:customStyle="1">
    <w:name w:val="ListLabel 31"/>
    <w:qFormat/>
    <w:rPr>
      <w:rFonts w:cs="Symbol"/>
    </w:rPr>
  </w:style>
  <w:style w:type="character" w:styleId="ListLabel32" w:customStyle="1">
    <w:name w:val="ListLabel 32"/>
    <w:qFormat/>
    <w:rPr>
      <w:rFonts w:cs="Symbol"/>
      <w:sz w:val="24"/>
      <w:szCs w:val="24"/>
    </w:rPr>
  </w:style>
  <w:style w:type="character" w:styleId="ListLabel33" w:customStyle="1">
    <w:name w:val="ListLabel 33"/>
    <w:qFormat/>
    <w:rPr>
      <w:rFonts w:cs="Times New Roman"/>
    </w:rPr>
  </w:style>
  <w:style w:type="character" w:styleId="ListLabel34" w:customStyle="1">
    <w:name w:val="ListLabel 34"/>
    <w:qFormat/>
    <w:rPr>
      <w:rFonts w:cs="Symbol"/>
      <w:sz w:val="28"/>
      <w:szCs w:val="28"/>
    </w:rPr>
  </w:style>
  <w:style w:type="character" w:styleId="ListLabel35" w:customStyle="1">
    <w:name w:val="ListLabel 35"/>
    <w:qFormat/>
    <w:rPr>
      <w:rFonts w:cs="OpenSymbol"/>
      <w:sz w:val="24"/>
      <w:szCs w:val="24"/>
    </w:rPr>
  </w:style>
  <w:style w:type="character" w:styleId="ListLabel36" w:customStyle="1">
    <w:name w:val="ListLabel 36"/>
    <w:qFormat/>
    <w:rPr>
      <w:rFonts w:cs="OpenSymbol"/>
    </w:rPr>
  </w:style>
  <w:style w:type="character" w:styleId="ListLabel37" w:customStyle="1">
    <w:name w:val="ListLabel 37"/>
    <w:qFormat/>
    <w:rPr>
      <w:rFonts w:cs="Symbol"/>
    </w:rPr>
  </w:style>
  <w:style w:type="character" w:styleId="ListLabel38" w:customStyle="1">
    <w:name w:val="ListLabel 38"/>
    <w:qFormat/>
    <w:rPr>
      <w:rFonts w:cs="Symbol"/>
      <w:sz w:val="24"/>
      <w:szCs w:val="24"/>
    </w:rPr>
  </w:style>
  <w:style w:type="character" w:styleId="ListLabel39" w:customStyle="1">
    <w:name w:val="ListLabel 39"/>
    <w:qFormat/>
    <w:rPr>
      <w:rFonts w:cs="Times New Roman"/>
    </w:rPr>
  </w:style>
  <w:style w:type="character" w:styleId="ListLabel40" w:customStyle="1">
    <w:name w:val="ListLabel 40"/>
    <w:qFormat/>
    <w:rPr>
      <w:rFonts w:cs="Symbol"/>
      <w:sz w:val="28"/>
      <w:szCs w:val="28"/>
    </w:rPr>
  </w:style>
  <w:style w:type="character" w:styleId="ListLabel41" w:customStyle="1">
    <w:name w:val="ListLabel 41"/>
    <w:qFormat/>
    <w:rPr>
      <w:rFonts w:cs="OpenSymbol"/>
      <w:sz w:val="24"/>
      <w:szCs w:val="24"/>
    </w:rPr>
  </w:style>
  <w:style w:type="character" w:styleId="ListLabel42" w:customStyle="1">
    <w:name w:val="ListLabel 42"/>
    <w:qFormat/>
    <w:rPr>
      <w:rFonts w:cs="OpenSymbol"/>
    </w:rPr>
  </w:style>
  <w:style w:type="character" w:styleId="ListLabel43" w:customStyle="1">
    <w:name w:val="ListLabel 43"/>
    <w:qFormat/>
    <w:rPr>
      <w:rFonts w:cs="Symbol"/>
    </w:rPr>
  </w:style>
  <w:style w:type="character" w:styleId="ListLabel44" w:customStyle="1">
    <w:name w:val="ListLabel 44"/>
    <w:qFormat/>
    <w:rPr>
      <w:rFonts w:cs="Symbol"/>
      <w:sz w:val="24"/>
      <w:szCs w:val="24"/>
    </w:rPr>
  </w:style>
  <w:style w:type="character" w:styleId="ListLabel45" w:customStyle="1">
    <w:name w:val="ListLabel 45"/>
    <w:qFormat/>
    <w:rPr>
      <w:rFonts w:cs="Times New Roman"/>
    </w:rPr>
  </w:style>
  <w:style w:type="character" w:styleId="ListLabel46" w:customStyle="1">
    <w:name w:val="ListLabel 46"/>
    <w:qFormat/>
    <w:rPr>
      <w:rFonts w:cs="Symbol"/>
      <w:sz w:val="28"/>
      <w:szCs w:val="28"/>
    </w:rPr>
  </w:style>
  <w:style w:type="character" w:styleId="ListLabel47" w:customStyle="1">
    <w:name w:val="ListLabel 47"/>
    <w:qFormat/>
    <w:rPr>
      <w:rFonts w:cs="OpenSymbol"/>
      <w:sz w:val="24"/>
      <w:szCs w:val="24"/>
    </w:rPr>
  </w:style>
  <w:style w:type="character" w:styleId="ListLabel48" w:customStyle="1">
    <w:name w:val="ListLabel 48"/>
    <w:qFormat/>
    <w:rPr>
      <w:rFonts w:cs="OpenSymbol"/>
    </w:rPr>
  </w:style>
  <w:style w:type="character" w:styleId="ListLabel49" w:customStyle="1">
    <w:name w:val="ListLabel 49"/>
    <w:qFormat/>
    <w:rPr>
      <w:rFonts w:cs="Symbol"/>
    </w:rPr>
  </w:style>
  <w:style w:type="character" w:styleId="ListLabel50" w:customStyle="1">
    <w:name w:val="ListLabel 50"/>
    <w:qFormat/>
    <w:rPr>
      <w:rFonts w:cs="Symbol"/>
      <w:sz w:val="24"/>
      <w:szCs w:val="24"/>
    </w:rPr>
  </w:style>
  <w:style w:type="character" w:styleId="ListLabel51" w:customStyle="1">
    <w:name w:val="ListLabel 51"/>
    <w:qFormat/>
    <w:rPr>
      <w:rFonts w:cs="Times New Roman"/>
    </w:rPr>
  </w:style>
  <w:style w:type="character" w:styleId="ListLabel52" w:customStyle="1">
    <w:name w:val="ListLabel 52"/>
    <w:qFormat/>
    <w:rPr>
      <w:rFonts w:cs="Symbol"/>
      <w:sz w:val="28"/>
      <w:szCs w:val="28"/>
    </w:rPr>
  </w:style>
  <w:style w:type="character" w:styleId="ListLabel53" w:customStyle="1">
    <w:name w:val="ListLabel 53"/>
    <w:qFormat/>
    <w:rPr>
      <w:rFonts w:cs="OpenSymbol"/>
      <w:sz w:val="24"/>
      <w:szCs w:val="24"/>
    </w:rPr>
  </w:style>
  <w:style w:type="character" w:styleId="ListLabel54" w:customStyle="1">
    <w:name w:val="ListLabel 54"/>
    <w:qFormat/>
    <w:rPr>
      <w:rFonts w:cs="OpenSymbol"/>
    </w:rPr>
  </w:style>
  <w:style w:type="character" w:styleId="ListLabel55" w:customStyle="1">
    <w:name w:val="ListLabel 55"/>
    <w:qFormat/>
    <w:rPr>
      <w:rFonts w:cs="Symbol"/>
    </w:rPr>
  </w:style>
  <w:style w:type="character" w:styleId="ListLabel56" w:customStyle="1">
    <w:name w:val="ListLabel 56"/>
    <w:qFormat/>
    <w:rPr>
      <w:rFonts w:cs="Symbol"/>
      <w:sz w:val="24"/>
      <w:szCs w:val="24"/>
    </w:rPr>
  </w:style>
  <w:style w:type="character" w:styleId="ListLabel57" w:customStyle="1">
    <w:name w:val="ListLabel 57"/>
    <w:qFormat/>
    <w:rPr>
      <w:rFonts w:cs="Times New Roman"/>
    </w:rPr>
  </w:style>
  <w:style w:type="character" w:styleId="ListLabel58" w:customStyle="1">
    <w:name w:val="ListLabel 58"/>
    <w:qFormat/>
    <w:rPr>
      <w:rFonts w:cs="Symbol"/>
      <w:sz w:val="28"/>
      <w:szCs w:val="28"/>
    </w:rPr>
  </w:style>
  <w:style w:type="character" w:styleId="ListLabel59" w:customStyle="1">
    <w:name w:val="ListLabel 59"/>
    <w:qFormat/>
    <w:rPr>
      <w:rFonts w:cs="OpenSymbol"/>
      <w:sz w:val="24"/>
      <w:szCs w:val="24"/>
    </w:rPr>
  </w:style>
  <w:style w:type="character" w:styleId="ListLabel60" w:customStyle="1">
    <w:name w:val="ListLabel 60"/>
    <w:qFormat/>
    <w:rPr>
      <w:rFonts w:cs="OpenSymbol"/>
    </w:rPr>
  </w:style>
  <w:style w:type="character" w:styleId="ListLabel61" w:customStyle="1">
    <w:name w:val="ListLabel 61"/>
    <w:qFormat/>
    <w:rPr>
      <w:rFonts w:cs="Symbol"/>
    </w:rPr>
  </w:style>
  <w:style w:type="character" w:styleId="ListLabel62" w:customStyle="1">
    <w:name w:val="ListLabel 62"/>
    <w:qFormat/>
    <w:rPr>
      <w:rFonts w:cs="Symbol"/>
      <w:sz w:val="24"/>
      <w:szCs w:val="24"/>
    </w:rPr>
  </w:style>
  <w:style w:type="character" w:styleId="ListLabel63" w:customStyle="1">
    <w:name w:val="ListLabel 63"/>
    <w:qFormat/>
    <w:rPr>
      <w:rFonts w:cs="Times New Roman"/>
    </w:rPr>
  </w:style>
  <w:style w:type="character" w:styleId="ListLabel64" w:customStyle="1">
    <w:name w:val="ListLabel 64"/>
    <w:qFormat/>
    <w:rPr>
      <w:rFonts w:cs="Symbol"/>
      <w:sz w:val="28"/>
      <w:szCs w:val="28"/>
    </w:rPr>
  </w:style>
  <w:style w:type="character" w:styleId="ListLabel65" w:customStyle="1">
    <w:name w:val="ListLabel 65"/>
    <w:qFormat/>
    <w:rPr>
      <w:rFonts w:cs="OpenSymbol"/>
      <w:sz w:val="24"/>
      <w:szCs w:val="24"/>
    </w:rPr>
  </w:style>
  <w:style w:type="character" w:styleId="ListLabel66" w:customStyle="1">
    <w:name w:val="ListLabel 66"/>
    <w:qFormat/>
    <w:rPr>
      <w:rFonts w:cs="OpenSymbol"/>
    </w:rPr>
  </w:style>
  <w:style w:type="character" w:styleId="ListLabel67" w:customStyle="1">
    <w:name w:val="ListLabel 67"/>
    <w:qFormat/>
    <w:rPr>
      <w:rFonts w:cs="Symbol"/>
    </w:rPr>
  </w:style>
  <w:style w:type="character" w:styleId="ListLabel68" w:customStyle="1">
    <w:name w:val="ListLabel 68"/>
    <w:qFormat/>
    <w:rPr>
      <w:rFonts w:cs="Symbol"/>
      <w:sz w:val="24"/>
      <w:szCs w:val="24"/>
    </w:rPr>
  </w:style>
  <w:style w:type="character" w:styleId="ListLabel69" w:customStyle="1">
    <w:name w:val="ListLabel 69"/>
    <w:qFormat/>
    <w:rPr>
      <w:rFonts w:cs="Times New Roman"/>
    </w:rPr>
  </w:style>
  <w:style w:type="character" w:styleId="ListLabel70" w:customStyle="1">
    <w:name w:val="ListLabel 70"/>
    <w:qFormat/>
    <w:rPr>
      <w:rFonts w:cs="Symbol"/>
      <w:sz w:val="28"/>
      <w:szCs w:val="28"/>
    </w:rPr>
  </w:style>
  <w:style w:type="character" w:styleId="ListLabel71" w:customStyle="1">
    <w:name w:val="ListLabel 71"/>
    <w:qFormat/>
    <w:rPr>
      <w:rFonts w:cs="OpenSymbol"/>
      <w:sz w:val="24"/>
      <w:szCs w:val="24"/>
    </w:rPr>
  </w:style>
  <w:style w:type="character" w:styleId="ListLabel72" w:customStyle="1">
    <w:name w:val="ListLabel 72"/>
    <w:qFormat/>
    <w:rPr>
      <w:rFonts w:cs="OpenSymbol"/>
    </w:rPr>
  </w:style>
  <w:style w:type="character" w:styleId="ListLabel73" w:customStyle="1">
    <w:name w:val="ListLabel 73"/>
    <w:qFormat/>
    <w:rPr>
      <w:rFonts w:cs="Symbol"/>
    </w:rPr>
  </w:style>
  <w:style w:type="character" w:styleId="ListLabel74" w:customStyle="1">
    <w:name w:val="ListLabel 74"/>
    <w:qFormat/>
    <w:rPr>
      <w:rFonts w:cs="Symbol"/>
      <w:sz w:val="24"/>
      <w:szCs w:val="24"/>
    </w:rPr>
  </w:style>
  <w:style w:type="character" w:styleId="ListLabel75" w:customStyle="1">
    <w:name w:val="ListLabel 75"/>
    <w:qFormat/>
    <w:rPr>
      <w:rFonts w:cs="Times New Roman"/>
    </w:rPr>
  </w:style>
  <w:style w:type="character" w:styleId="ListLabel76" w:customStyle="1">
    <w:name w:val="ListLabel 76"/>
    <w:qFormat/>
    <w:rPr>
      <w:rFonts w:cs="Symbol"/>
      <w:sz w:val="28"/>
      <w:szCs w:val="28"/>
    </w:rPr>
  </w:style>
  <w:style w:type="character" w:styleId="ListLabel77" w:customStyle="1">
    <w:name w:val="ListLabel 77"/>
    <w:qFormat/>
    <w:rPr>
      <w:rFonts w:cs="OpenSymbol"/>
      <w:sz w:val="24"/>
      <w:szCs w:val="24"/>
    </w:rPr>
  </w:style>
  <w:style w:type="character" w:styleId="ListLabel78" w:customStyle="1">
    <w:name w:val="ListLabel 78"/>
    <w:qFormat/>
    <w:rPr>
      <w:rFonts w:cs="OpenSymbol"/>
    </w:rPr>
  </w:style>
  <w:style w:type="character" w:styleId="ListLabel79" w:customStyle="1">
    <w:name w:val="ListLabel 79"/>
    <w:qFormat/>
    <w:rPr>
      <w:rFonts w:cs="Symbol"/>
    </w:rPr>
  </w:style>
  <w:style w:type="character" w:styleId="ListLabel80" w:customStyle="1">
    <w:name w:val="ListLabel 80"/>
    <w:qFormat/>
    <w:rPr>
      <w:rFonts w:cs="Symbol"/>
      <w:sz w:val="24"/>
      <w:szCs w:val="24"/>
    </w:rPr>
  </w:style>
  <w:style w:type="character" w:styleId="ListLabel81" w:customStyle="1">
    <w:name w:val="ListLabel 81"/>
    <w:qFormat/>
    <w:rPr>
      <w:rFonts w:cs="Times New Roman"/>
    </w:rPr>
  </w:style>
  <w:style w:type="character" w:styleId="ListLabel82" w:customStyle="1">
    <w:name w:val="ListLabel 82"/>
    <w:qFormat/>
    <w:rPr>
      <w:rFonts w:cs="Symbol"/>
      <w:sz w:val="28"/>
      <w:szCs w:val="28"/>
    </w:rPr>
  </w:style>
  <w:style w:type="character" w:styleId="ListLabel83" w:customStyle="1">
    <w:name w:val="ListLabel 83"/>
    <w:qFormat/>
    <w:rPr>
      <w:rFonts w:cs="OpenSymbol"/>
      <w:sz w:val="24"/>
      <w:szCs w:val="24"/>
    </w:rPr>
  </w:style>
  <w:style w:type="character" w:styleId="ListLabel84" w:customStyle="1">
    <w:name w:val="ListLabel 84"/>
    <w:qFormat/>
    <w:rPr>
      <w:rFonts w:cs="Symbol"/>
    </w:rPr>
  </w:style>
  <w:style w:type="character" w:styleId="ListLabel85" w:customStyle="1">
    <w:name w:val="ListLabel 85"/>
    <w:qFormat/>
    <w:rPr>
      <w:rFonts w:cs="Symbol"/>
      <w:sz w:val="24"/>
      <w:szCs w:val="24"/>
    </w:rPr>
  </w:style>
  <w:style w:type="character" w:styleId="ListLabel86" w:customStyle="1">
    <w:name w:val="ListLabel 86"/>
    <w:qFormat/>
    <w:rPr>
      <w:rFonts w:cs="Times New Roman"/>
    </w:rPr>
  </w:style>
  <w:style w:type="character" w:styleId="ListLabel87" w:customStyle="1">
    <w:name w:val="ListLabel 87"/>
    <w:qFormat/>
    <w:rPr>
      <w:rFonts w:cs="Symbol"/>
      <w:sz w:val="28"/>
      <w:szCs w:val="28"/>
    </w:rPr>
  </w:style>
  <w:style w:type="character" w:styleId="ListLabel88" w:customStyle="1">
    <w:name w:val="ListLabel 88"/>
    <w:qFormat/>
    <w:rPr>
      <w:rFonts w:cs="OpenSymbol"/>
      <w:sz w:val="24"/>
      <w:szCs w:val="24"/>
    </w:rPr>
  </w:style>
  <w:style w:type="character" w:styleId="ListLabel89" w:customStyle="1">
    <w:name w:val="ListLabel 89"/>
    <w:qFormat/>
    <w:rPr>
      <w:rFonts w:cs="Symbol"/>
    </w:rPr>
  </w:style>
  <w:style w:type="character" w:styleId="ListLabel90" w:customStyle="1">
    <w:name w:val="ListLabel 90"/>
    <w:qFormat/>
    <w:rPr>
      <w:rFonts w:cs="Symbol"/>
      <w:sz w:val="24"/>
      <w:szCs w:val="24"/>
    </w:rPr>
  </w:style>
  <w:style w:type="character" w:styleId="ListLabel91" w:customStyle="1">
    <w:name w:val="ListLabel 91"/>
    <w:qFormat/>
    <w:rPr>
      <w:rFonts w:cs="Times New Roman"/>
    </w:rPr>
  </w:style>
  <w:style w:type="character" w:styleId="ListLabel92" w:customStyle="1">
    <w:name w:val="ListLabel 92"/>
    <w:qFormat/>
    <w:rPr>
      <w:rFonts w:cs="Symbol"/>
      <w:sz w:val="28"/>
      <w:szCs w:val="28"/>
    </w:rPr>
  </w:style>
  <w:style w:type="character" w:styleId="ListLabel93" w:customStyle="1">
    <w:name w:val="ListLabel 93"/>
    <w:qFormat/>
    <w:rPr>
      <w:rFonts w:cs="OpenSymbol"/>
      <w:sz w:val="24"/>
      <w:szCs w:val="24"/>
    </w:rPr>
  </w:style>
  <w:style w:type="character" w:styleId="ListLabel94" w:customStyle="1">
    <w:name w:val="ListLabel 94"/>
    <w:qFormat/>
    <w:rPr>
      <w:rFonts w:cs="Symbol"/>
    </w:rPr>
  </w:style>
  <w:style w:type="character" w:styleId="ListLabel95" w:customStyle="1">
    <w:name w:val="ListLabel 95"/>
    <w:qFormat/>
    <w:rPr>
      <w:rFonts w:cs="Symbol"/>
      <w:sz w:val="24"/>
      <w:szCs w:val="24"/>
    </w:rPr>
  </w:style>
  <w:style w:type="character" w:styleId="ListLabel96" w:customStyle="1">
    <w:name w:val="ListLabel 96"/>
    <w:qFormat/>
    <w:rPr>
      <w:rFonts w:cs="Times New Roman"/>
    </w:rPr>
  </w:style>
  <w:style w:type="character" w:styleId="ListLabel97" w:customStyle="1">
    <w:name w:val="ListLabel 97"/>
    <w:qFormat/>
    <w:rPr>
      <w:rFonts w:cs="Symbol"/>
      <w:sz w:val="28"/>
      <w:szCs w:val="28"/>
    </w:rPr>
  </w:style>
  <w:style w:type="character" w:styleId="ListLabel98" w:customStyle="1">
    <w:name w:val="ListLabel 98"/>
    <w:qFormat/>
    <w:rPr>
      <w:rFonts w:cs="OpenSymbol"/>
      <w:sz w:val="24"/>
      <w:szCs w:val="24"/>
    </w:rPr>
  </w:style>
  <w:style w:type="character" w:styleId="ListLabel99" w:customStyle="1">
    <w:name w:val="ListLabel 99"/>
    <w:qFormat/>
    <w:rPr>
      <w:rFonts w:cs="Symbol"/>
    </w:rPr>
  </w:style>
  <w:style w:type="character" w:styleId="ListLabel100" w:customStyle="1">
    <w:name w:val="ListLabel 100"/>
    <w:qFormat/>
    <w:rPr>
      <w:rFonts w:cs="Symbol"/>
      <w:sz w:val="24"/>
      <w:szCs w:val="24"/>
    </w:rPr>
  </w:style>
  <w:style w:type="character" w:styleId="ListLabel101" w:customStyle="1">
    <w:name w:val="ListLabel 101"/>
    <w:qFormat/>
    <w:rPr>
      <w:rFonts w:cs="Times New Roman"/>
    </w:rPr>
  </w:style>
  <w:style w:type="character" w:styleId="ListLabel102" w:customStyle="1">
    <w:name w:val="ListLabel 102"/>
    <w:qFormat/>
    <w:rPr>
      <w:rFonts w:cs="Symbol"/>
      <w:sz w:val="28"/>
      <w:szCs w:val="28"/>
    </w:rPr>
  </w:style>
  <w:style w:type="character" w:styleId="ListLabel103" w:customStyle="1">
    <w:name w:val="ListLabel 103"/>
    <w:qFormat/>
    <w:rPr>
      <w:rFonts w:cs="OpenSymbol"/>
      <w:sz w:val="24"/>
      <w:szCs w:val="24"/>
    </w:rPr>
  </w:style>
  <w:style w:type="character" w:styleId="Vnculodendice" w:customStyle="1">
    <w:name w:val="Vínculo de índice"/>
    <w:qFormat/>
    <w:rPr/>
  </w:style>
  <w:style w:type="character" w:styleId="Forte1" w:customStyle="1">
    <w:name w:val="Forte1"/>
    <w:qFormat/>
    <w:rPr>
      <w:b/>
      <w:bCs/>
    </w:rPr>
  </w:style>
  <w:style w:type="character" w:styleId="Hyperlink1" w:customStyle="1">
    <w:name w:val="Hyperlink1"/>
    <w:qFormat/>
    <w:rPr>
      <w:color w:val="0000FF"/>
      <w:u w:val="single"/>
    </w:rPr>
  </w:style>
  <w:style w:type="character" w:styleId="TtuloChar" w:customStyle="1">
    <w:name w:val="Título Char"/>
    <w:qFormat/>
    <w:rPr>
      <w:rFonts w:ascii="Liberation Sans" w:hAnsi="Liberation Sans" w:eastAsia="Microsoft YaHei" w:cs="Liberation Sans"/>
      <w:color w:val="00000A"/>
      <w:sz w:val="28"/>
      <w:szCs w:val="28"/>
      <w:lang w:bidi="ar-SA"/>
    </w:rPr>
  </w:style>
  <w:style w:type="character" w:styleId="TextodebaloChar" w:customStyle="1">
    <w:name w:val="Texto de balão Char"/>
    <w:qFormat/>
    <w:rPr>
      <w:rFonts w:ascii="Tahoma" w:hAnsi="Tahoma" w:eastAsia="Times New Roman" w:cs="Tahoma"/>
      <w:color w:val="00000A"/>
      <w:sz w:val="16"/>
      <w:szCs w:val="16"/>
      <w:lang w:bidi="ar-SA"/>
    </w:rPr>
  </w:style>
  <w:style w:type="character" w:styleId="CabealhoChar" w:customStyle="1">
    <w:name w:val="Cabeçalho Char"/>
    <w:uiPriority w:val="99"/>
    <w:qFormat/>
    <w:rPr>
      <w:rFonts w:ascii="Times New Roman" w:hAnsi="Times New Roman" w:eastAsia="Times New Roman" w:cs="Times New Roman"/>
      <w:color w:val="00000A"/>
      <w:lang w:eastAsia="zh-CN"/>
    </w:rPr>
  </w:style>
  <w:style w:type="character" w:styleId="Smbolosdenumerao" w:customStyle="1">
    <w:name w:val="Símbolos de numeração"/>
    <w:qFormat/>
    <w:rPr/>
  </w:style>
  <w:style w:type="character" w:styleId="RodapChar" w:customStyle="1">
    <w:name w:val="Rodapé Char"/>
    <w:basedOn w:val="DefaultParagraphFont"/>
    <w:link w:val="Rodap"/>
    <w:uiPriority w:val="99"/>
    <w:qFormat/>
    <w:rsid w:val="00067edb"/>
    <w:rPr>
      <w:color w:val="00000A"/>
      <w:lang w:eastAsia="zh-CN"/>
    </w:rPr>
  </w:style>
  <w:style w:type="character" w:styleId="Pagenumber">
    <w:name w:val="page number"/>
    <w:basedOn w:val="DefaultParagraphFont"/>
    <w:uiPriority w:val="99"/>
    <w:semiHidden/>
    <w:unhideWhenUsed/>
    <w:qFormat/>
    <w:rsid w:val="00f94723"/>
    <w:rPr/>
  </w:style>
  <w:style w:type="character" w:styleId="ListLabel104">
    <w:name w:val="ListLabel 104"/>
    <w:qFormat/>
    <w:rPr>
      <w:rFonts w:ascii="Arial" w:hAnsi="Arial" w:cs="Symbol"/>
      <w:b w:val="false"/>
      <w:color w:val="000000"/>
      <w:sz w:val="24"/>
      <w:szCs w:val="24"/>
      <w:highlight w:val="white"/>
      <w:lang w:val="en-US" w:eastAsia="en-US" w:bidi="hi-IN"/>
    </w:rPr>
  </w:style>
  <w:style w:type="character" w:styleId="ListLabel105">
    <w:name w:val="ListLabel 105"/>
    <w:qFormat/>
    <w:rPr>
      <w:rFonts w:ascii="Arial" w:hAnsi="Arial" w:eastAsia="SimSun" w:cs="Arial"/>
      <w:sz w:val="24"/>
      <w:szCs w:val="24"/>
      <w:lang w:bidi="hi-IN"/>
    </w:rPr>
  </w:style>
  <w:style w:type="character" w:styleId="ListLabel106">
    <w:name w:val="ListLabel 106"/>
    <w:qFormat/>
    <w:rPr>
      <w:rFonts w:cs="Symbol"/>
      <w:sz w:val="24"/>
      <w:szCs w:val="24"/>
      <w:highlight w:val="white"/>
      <w:lang w:bidi="hi-IN"/>
    </w:rPr>
  </w:style>
  <w:style w:type="character" w:styleId="ListLabel107">
    <w:name w:val="ListLabel 107"/>
    <w:qFormat/>
    <w:rPr>
      <w:rFonts w:cs="OpenSymbol"/>
      <w:sz w:val="24"/>
      <w:szCs w:val="24"/>
    </w:rPr>
  </w:style>
  <w:style w:type="character" w:styleId="ListLabel108">
    <w:name w:val="ListLabel 108"/>
    <w:qFormat/>
    <w:rPr>
      <w:rFonts w:cs="OpenSymbol"/>
      <w:sz w:val="24"/>
      <w:szCs w:val="24"/>
    </w:rPr>
  </w:style>
  <w:style w:type="character" w:styleId="ListLabel109">
    <w:name w:val="ListLabel 109"/>
    <w:qFormat/>
    <w:rPr>
      <w:rFonts w:cs="Symbol"/>
      <w:sz w:val="24"/>
      <w:szCs w:val="24"/>
      <w:highlight w:val="white"/>
      <w:lang w:bidi="hi-IN"/>
    </w:rPr>
  </w:style>
  <w:style w:type="character" w:styleId="ListLabel110">
    <w:name w:val="ListLabel 110"/>
    <w:qFormat/>
    <w:rPr>
      <w:rFonts w:cs="OpenSymbol"/>
      <w:sz w:val="24"/>
      <w:szCs w:val="24"/>
    </w:rPr>
  </w:style>
  <w:style w:type="character" w:styleId="ListLabel111">
    <w:name w:val="ListLabel 111"/>
    <w:qFormat/>
    <w:rPr>
      <w:rFonts w:cs="OpenSymbol"/>
      <w:sz w:val="24"/>
      <w:szCs w:val="24"/>
    </w:rPr>
  </w:style>
  <w:style w:type="character" w:styleId="ListLabel112">
    <w:name w:val="ListLabel 112"/>
    <w:qFormat/>
    <w:rPr>
      <w:rFonts w:cs="Symbol"/>
      <w:sz w:val="24"/>
      <w:szCs w:val="24"/>
      <w:highlight w:val="white"/>
      <w:lang w:bidi="hi-IN"/>
    </w:rPr>
  </w:style>
  <w:style w:type="character" w:styleId="ListLabel113">
    <w:name w:val="ListLabel 113"/>
    <w:qFormat/>
    <w:rPr>
      <w:rFonts w:cs="OpenSymbol"/>
      <w:sz w:val="24"/>
      <w:szCs w:val="24"/>
    </w:rPr>
  </w:style>
  <w:style w:type="character" w:styleId="ListLabel114">
    <w:name w:val="ListLabel 114"/>
    <w:qFormat/>
    <w:rPr>
      <w:rFonts w:cs="OpenSymbol"/>
      <w:sz w:val="24"/>
      <w:szCs w:val="24"/>
    </w:rPr>
  </w:style>
  <w:style w:type="character" w:styleId="ListLabel115">
    <w:name w:val="ListLabel 115"/>
    <w:qFormat/>
    <w:rPr>
      <w:rFonts w:ascii="Arial" w:hAnsi="Arial" w:eastAsia="SimSun" w:cs="Arial"/>
      <w:sz w:val="24"/>
      <w:szCs w:val="24"/>
      <w:lang w:bidi="hi-IN"/>
    </w:rPr>
  </w:style>
  <w:style w:type="character" w:styleId="ListLabel116">
    <w:name w:val="ListLabel 116"/>
    <w:qFormat/>
    <w:rPr>
      <w:rFonts w:ascii="Arial" w:hAnsi="Arial" w:eastAsia="SimSun" w:cs="Arial"/>
      <w:sz w:val="24"/>
    </w:rPr>
  </w:style>
  <w:style w:type="character" w:styleId="ListLabel117">
    <w:name w:val="ListLabel 117"/>
    <w:qFormat/>
    <w:rPr>
      <w:rFonts w:ascii="Arial" w:hAnsi="Arial" w:eastAsia="Times New Roman" w:cs="Arial"/>
      <w:sz w:val="24"/>
    </w:rPr>
  </w:style>
  <w:style w:type="character" w:styleId="ListLabel118">
    <w:name w:val="ListLabel 118"/>
    <w:qFormat/>
    <w:rPr>
      <w:rFonts w:cs="Arial"/>
      <w:b/>
      <w:sz w:val="24"/>
    </w:rPr>
  </w:style>
  <w:style w:type="character" w:styleId="ListLabel119">
    <w:name w:val="ListLabel 119"/>
    <w:qFormat/>
    <w:rPr>
      <w:rFonts w:cs="Courier New"/>
    </w:rPr>
  </w:style>
  <w:style w:type="character" w:styleId="ListLabel120">
    <w:name w:val="ListLabel 120"/>
    <w:qFormat/>
    <w:rPr>
      <w:rFonts w:cs="Courier New"/>
    </w:rPr>
  </w:style>
  <w:style w:type="character" w:styleId="ListLabel121">
    <w:name w:val="ListLabel 121"/>
    <w:qFormat/>
    <w:rPr>
      <w:rFonts w:cs="Courier New"/>
    </w:rPr>
  </w:style>
  <w:style w:type="character" w:styleId="ListLabel122">
    <w:name w:val="ListLabel 122"/>
    <w:qFormat/>
    <w:rPr>
      <w:rFonts w:cs="Courier New"/>
    </w:rPr>
  </w:style>
  <w:style w:type="character" w:styleId="ListLabel123">
    <w:name w:val="ListLabel 123"/>
    <w:qFormat/>
    <w:rPr>
      <w:rFonts w:cs="Courier New"/>
    </w:rPr>
  </w:style>
  <w:style w:type="character" w:styleId="ListLabel124">
    <w:name w:val="ListLabel 124"/>
    <w:qFormat/>
    <w:rPr>
      <w:rFonts w:cs="Courier New"/>
    </w:rPr>
  </w:style>
  <w:style w:type="character" w:styleId="ListLabel125">
    <w:name w:val="ListLabel 125"/>
    <w:qFormat/>
    <w:rPr>
      <w:rFonts w:cs="Courier New"/>
    </w:rPr>
  </w:style>
  <w:style w:type="character" w:styleId="ListLabel126">
    <w:name w:val="ListLabel 126"/>
    <w:qFormat/>
    <w:rPr>
      <w:rFonts w:cs="Courier New"/>
    </w:rPr>
  </w:style>
  <w:style w:type="character" w:styleId="ListLabel127">
    <w:name w:val="ListLabel 127"/>
    <w:qFormat/>
    <w:rPr>
      <w:rFonts w:cs="Courier New"/>
    </w:rPr>
  </w:style>
  <w:style w:type="character" w:styleId="ListLabel128">
    <w:name w:val="ListLabel 128"/>
    <w:qFormat/>
    <w:rPr>
      <w:rFonts w:cs="Courier New"/>
    </w:rPr>
  </w:style>
  <w:style w:type="character" w:styleId="ListLabel129">
    <w:name w:val="ListLabel 129"/>
    <w:qFormat/>
    <w:rPr>
      <w:rFonts w:cs="Courier New"/>
    </w:rPr>
  </w:style>
  <w:style w:type="character" w:styleId="ListLabel130">
    <w:name w:val="ListLabel 130"/>
    <w:qFormat/>
    <w:rPr>
      <w:rFonts w:cs="Courier New"/>
    </w:rPr>
  </w:style>
  <w:style w:type="character" w:styleId="ListLabel131">
    <w:name w:val="ListLabel 131"/>
    <w:qFormat/>
    <w:rPr>
      <w:rFonts w:cs="Courier New"/>
    </w:rPr>
  </w:style>
  <w:style w:type="character" w:styleId="ListLabel132">
    <w:name w:val="ListLabel 132"/>
    <w:qFormat/>
    <w:rPr>
      <w:rFonts w:cs="Courier New"/>
    </w:rPr>
  </w:style>
  <w:style w:type="character" w:styleId="ListLabel133">
    <w:name w:val="ListLabel 133"/>
    <w:qFormat/>
    <w:rPr>
      <w:rFonts w:cs="Courier New"/>
    </w:rPr>
  </w:style>
  <w:style w:type="character" w:styleId="ListLabel134">
    <w:name w:val="ListLabel 134"/>
    <w:qFormat/>
    <w:rPr>
      <w:rFonts w:ascii="Arial" w:hAnsi="Arial" w:cs="Courier New"/>
      <w:sz w:val="24"/>
    </w:rPr>
  </w:style>
  <w:style w:type="character" w:styleId="ListLabel135">
    <w:name w:val="ListLabel 135"/>
    <w:qFormat/>
    <w:rPr>
      <w:rFonts w:cs="Courier New"/>
    </w:rPr>
  </w:style>
  <w:style w:type="character" w:styleId="ListLabel136">
    <w:name w:val="ListLabel 136"/>
    <w:qFormat/>
    <w:rPr>
      <w:rFonts w:cs="Courier New"/>
    </w:rPr>
  </w:style>
  <w:style w:type="character" w:styleId="ListLabel137">
    <w:name w:val="ListLabel 137"/>
    <w:qFormat/>
    <w:rPr>
      <w:rFonts w:ascii="Arial" w:hAnsi="Arial" w:cs="Courier New"/>
      <w:sz w:val="24"/>
    </w:rPr>
  </w:style>
  <w:style w:type="character" w:styleId="ListLabel138">
    <w:name w:val="ListLabel 138"/>
    <w:qFormat/>
    <w:rPr>
      <w:rFonts w:cs="Courier New"/>
    </w:rPr>
  </w:style>
  <w:style w:type="character" w:styleId="ListLabel139">
    <w:name w:val="ListLabel 139"/>
    <w:qFormat/>
    <w:rPr>
      <w:rFonts w:cs="Courier New"/>
    </w:rPr>
  </w:style>
  <w:style w:type="character" w:styleId="ListLabel140">
    <w:name w:val="ListLabel 140"/>
    <w:qFormat/>
    <w:rPr>
      <w:rFonts w:cs="Courier New"/>
    </w:rPr>
  </w:style>
  <w:style w:type="character" w:styleId="ListLabel141">
    <w:name w:val="ListLabel 141"/>
    <w:qFormat/>
    <w:rPr>
      <w:rFonts w:cs="Courier New"/>
    </w:rPr>
  </w:style>
  <w:style w:type="character" w:styleId="ListLabel142">
    <w:name w:val="ListLabel 142"/>
    <w:qFormat/>
    <w:rPr>
      <w:rFonts w:cs="Courier New"/>
    </w:rPr>
  </w:style>
  <w:style w:type="character" w:styleId="ListLabel143">
    <w:name w:val="ListLabel 143"/>
    <w:qFormat/>
    <w:rPr>
      <w:rFonts w:cs="Courier New"/>
    </w:rPr>
  </w:style>
  <w:style w:type="character" w:styleId="ListLabel144">
    <w:name w:val="ListLabel 144"/>
    <w:qFormat/>
    <w:rPr>
      <w:rFonts w:cs="Courier New"/>
    </w:rPr>
  </w:style>
  <w:style w:type="character" w:styleId="ListLabel145">
    <w:name w:val="ListLabel 145"/>
    <w:qFormat/>
    <w:rPr>
      <w:rFonts w:cs="Courier New"/>
    </w:rPr>
  </w:style>
  <w:style w:type="character" w:styleId="ListLabel146">
    <w:name w:val="ListLabel 146"/>
    <w:qFormat/>
    <w:rPr>
      <w:rFonts w:cs="Courier New"/>
    </w:rPr>
  </w:style>
  <w:style w:type="character" w:styleId="ListLabel147">
    <w:name w:val="ListLabel 147"/>
    <w:qFormat/>
    <w:rPr>
      <w:rFonts w:cs="Courier New"/>
    </w:rPr>
  </w:style>
  <w:style w:type="character" w:styleId="ListLabel148">
    <w:name w:val="ListLabel 148"/>
    <w:qFormat/>
    <w:rPr>
      <w:rFonts w:cs="Courier New"/>
    </w:rPr>
  </w:style>
  <w:style w:type="character" w:styleId="ListLabel149">
    <w:name w:val="ListLabel 149"/>
    <w:qFormat/>
    <w:rPr>
      <w:rFonts w:cs="Courier New"/>
    </w:rPr>
  </w:style>
  <w:style w:type="character" w:styleId="ListLabel150">
    <w:name w:val="ListLabel 150"/>
    <w:qFormat/>
    <w:rPr>
      <w:rFonts w:cs="Courier New"/>
    </w:rPr>
  </w:style>
  <w:style w:type="character" w:styleId="ListLabel151">
    <w:name w:val="ListLabel 151"/>
    <w:qFormat/>
    <w:rPr>
      <w:rFonts w:cs="Courier New"/>
    </w:rPr>
  </w:style>
  <w:style w:type="character" w:styleId="ListLabel152">
    <w:name w:val="ListLabel 152"/>
    <w:qFormat/>
    <w:rPr>
      <w:rFonts w:cs="Courier New"/>
    </w:rPr>
  </w:style>
  <w:style w:type="character" w:styleId="ListLabel153">
    <w:name w:val="ListLabel 153"/>
    <w:qFormat/>
    <w:rPr>
      <w:rFonts w:cs="Courier New"/>
    </w:rPr>
  </w:style>
  <w:style w:type="character" w:styleId="ListLabel154">
    <w:name w:val="ListLabel 154"/>
    <w:qFormat/>
    <w:rPr>
      <w:rFonts w:cs="Courier New"/>
    </w:rPr>
  </w:style>
  <w:style w:type="character" w:styleId="ListLabel155">
    <w:name w:val="ListLabel 155"/>
    <w:qFormat/>
    <w:rPr>
      <w:rFonts w:cs="Courier New"/>
    </w:rPr>
  </w:style>
  <w:style w:type="character" w:styleId="ListLabel156">
    <w:name w:val="ListLabel 156"/>
    <w:qFormat/>
    <w:rPr>
      <w:rFonts w:cs="Courier New"/>
    </w:rPr>
  </w:style>
  <w:style w:type="character" w:styleId="ListLabel157">
    <w:name w:val="ListLabel 157"/>
    <w:qFormat/>
    <w:rPr>
      <w:rFonts w:cs="Courier New"/>
    </w:rPr>
  </w:style>
  <w:style w:type="character" w:styleId="ListLabel158">
    <w:name w:val="ListLabel 158"/>
    <w:qFormat/>
    <w:rPr>
      <w:rFonts w:cs="Courier New"/>
    </w:rPr>
  </w:style>
  <w:style w:type="character" w:styleId="ListLabel159">
    <w:name w:val="ListLabel 159"/>
    <w:qFormat/>
    <w:rPr>
      <w:rFonts w:cs="Courier New"/>
    </w:rPr>
  </w:style>
  <w:style w:type="character" w:styleId="ListLabel160">
    <w:name w:val="ListLabel 160"/>
    <w:qFormat/>
    <w:rPr>
      <w:rFonts w:cs="Courier New"/>
    </w:rPr>
  </w:style>
  <w:style w:type="character" w:styleId="ListLabel161">
    <w:name w:val="ListLabel 161"/>
    <w:qFormat/>
    <w:rPr>
      <w:rFonts w:ascii="Arial" w:hAnsi="Arial" w:cs="Courier New"/>
      <w:b/>
      <w:sz w:val="24"/>
    </w:rPr>
  </w:style>
  <w:style w:type="character" w:styleId="ListLabel162">
    <w:name w:val="ListLabel 162"/>
    <w:qFormat/>
    <w:rPr>
      <w:rFonts w:cs="Courier New"/>
    </w:rPr>
  </w:style>
  <w:style w:type="character" w:styleId="ListLabel163">
    <w:name w:val="ListLabel 163"/>
    <w:qFormat/>
    <w:rPr>
      <w:rFonts w:cs="Courier New"/>
    </w:rPr>
  </w:style>
  <w:style w:type="character" w:styleId="ListLabel164">
    <w:name w:val="ListLabel 164"/>
    <w:qFormat/>
    <w:rPr>
      <w:rFonts w:ascii="Arial" w:hAnsi="Arial" w:cs="Courier New"/>
      <w:b/>
      <w:sz w:val="24"/>
    </w:rPr>
  </w:style>
  <w:style w:type="character" w:styleId="ListLabel165">
    <w:name w:val="ListLabel 165"/>
    <w:qFormat/>
    <w:rPr>
      <w:rFonts w:cs="Courier New"/>
    </w:rPr>
  </w:style>
  <w:style w:type="character" w:styleId="ListLabel166">
    <w:name w:val="ListLabel 166"/>
    <w:qFormat/>
    <w:rPr>
      <w:rFonts w:cs="Courier New"/>
    </w:rPr>
  </w:style>
  <w:style w:type="character" w:styleId="ListLabel167">
    <w:name w:val="ListLabel 167"/>
    <w:qFormat/>
    <w:rPr>
      <w:rFonts w:cs="Courier New"/>
    </w:rPr>
  </w:style>
  <w:style w:type="character" w:styleId="ListLabel168">
    <w:name w:val="ListLabel 168"/>
    <w:qFormat/>
    <w:rPr>
      <w:rFonts w:cs="Courier New"/>
    </w:rPr>
  </w:style>
  <w:style w:type="character" w:styleId="ListLabel169">
    <w:name w:val="ListLabel 169"/>
    <w:qFormat/>
    <w:rPr>
      <w:rFonts w:cs="Courier New"/>
    </w:rPr>
  </w:style>
  <w:style w:type="character" w:styleId="ListLabel170">
    <w:name w:val="ListLabel 170"/>
    <w:qFormat/>
    <w:rPr>
      <w:rFonts w:cs="Courier New"/>
    </w:rPr>
  </w:style>
  <w:style w:type="character" w:styleId="ListLabel171">
    <w:name w:val="ListLabel 171"/>
    <w:qFormat/>
    <w:rPr>
      <w:rFonts w:cs="Courier New"/>
    </w:rPr>
  </w:style>
  <w:style w:type="character" w:styleId="ListLabel172">
    <w:name w:val="ListLabel 172"/>
    <w:qFormat/>
    <w:rPr>
      <w:rFonts w:cs="Courier New"/>
    </w:rPr>
  </w:style>
  <w:style w:type="character" w:styleId="ListLabel173">
    <w:name w:val="ListLabel 173"/>
    <w:qFormat/>
    <w:rPr>
      <w:rFonts w:cs="Courier New"/>
    </w:rPr>
  </w:style>
  <w:style w:type="character" w:styleId="ListLabel174">
    <w:name w:val="ListLabel 174"/>
    <w:qFormat/>
    <w:rPr>
      <w:rFonts w:cs="Courier New"/>
    </w:rPr>
  </w:style>
  <w:style w:type="character" w:styleId="ListLabel175">
    <w:name w:val="ListLabel 175"/>
    <w:qFormat/>
    <w:rPr>
      <w:rFonts w:cs="Courier New"/>
    </w:rPr>
  </w:style>
  <w:style w:type="character" w:styleId="ListLabel176">
    <w:name w:val="ListLabel 176"/>
    <w:qFormat/>
    <w:rPr>
      <w:rFonts w:ascii="Arial" w:hAnsi="Arial" w:eastAsia="SimSun" w:cs="Arial"/>
      <w:b/>
      <w:sz w:val="24"/>
    </w:rPr>
  </w:style>
  <w:style w:type="character" w:styleId="ListLabel177">
    <w:name w:val="ListLabel 177"/>
    <w:qFormat/>
    <w:rPr>
      <w:rFonts w:ascii="Arial" w:hAnsi="Arial" w:eastAsia="Times New Roman" w:cs="Arial"/>
      <w:sz w:val="24"/>
    </w:rPr>
  </w:style>
  <w:style w:type="character" w:styleId="ListLabel178">
    <w:name w:val="ListLabel 178"/>
    <w:qFormat/>
    <w:rPr>
      <w:rFonts w:ascii="Arial" w:hAnsi="Arial" w:eastAsia="Times New Roman" w:cs="Arial"/>
      <w:sz w:val="24"/>
    </w:rPr>
  </w:style>
  <w:style w:type="character" w:styleId="ListLabel179">
    <w:name w:val="ListLabel 179"/>
    <w:qFormat/>
    <w:rPr>
      <w:rFonts w:ascii="Arial" w:hAnsi="Arial" w:eastAsia="Times New Roman" w:cs="Arial"/>
      <w:sz w:val="24"/>
    </w:rPr>
  </w:style>
  <w:style w:type="character" w:styleId="ListLabel180">
    <w:name w:val="ListLabel 180"/>
    <w:qFormat/>
    <w:rPr>
      <w:rFonts w:cs="Courier New"/>
    </w:rPr>
  </w:style>
  <w:style w:type="character" w:styleId="ListLabel181">
    <w:name w:val="ListLabel 181"/>
    <w:qFormat/>
    <w:rPr>
      <w:rFonts w:cs="Courier New"/>
    </w:rPr>
  </w:style>
  <w:style w:type="character" w:styleId="ListLabel182">
    <w:name w:val="ListLabel 182"/>
    <w:qFormat/>
    <w:rPr>
      <w:rFonts w:cs="Courier New"/>
    </w:rPr>
  </w:style>
  <w:style w:type="character" w:styleId="ListLabel183">
    <w:name w:val="ListLabel 183"/>
    <w:qFormat/>
    <w:rPr>
      <w:rFonts w:ascii="Arial" w:hAnsi="Arial" w:eastAsia="Times New Roman" w:cs="Arial"/>
      <w:sz w:val="24"/>
    </w:rPr>
  </w:style>
  <w:style w:type="character" w:styleId="ListLabel184">
    <w:name w:val="ListLabel 184"/>
    <w:qFormat/>
    <w:rPr>
      <w:rFonts w:ascii="Arial" w:hAnsi="Arial" w:eastAsia="Times New Roman" w:cs="Arial"/>
      <w:sz w:val="24"/>
    </w:rPr>
  </w:style>
  <w:style w:type="character" w:styleId="ListLabel185">
    <w:name w:val="ListLabel 185"/>
    <w:qFormat/>
    <w:rPr>
      <w:rFonts w:ascii="Arial" w:hAnsi="Arial" w:eastAsia="Times New Roman" w:cs="Arial"/>
      <w:sz w:val="24"/>
    </w:rPr>
  </w:style>
  <w:style w:type="character" w:styleId="ListLabel186">
    <w:name w:val="ListLabel 186"/>
    <w:qFormat/>
    <w:rPr>
      <w:rFonts w:ascii="Arial" w:hAnsi="Arial" w:eastAsia="Times New Roman" w:cs="Arial"/>
      <w:sz w:val="24"/>
    </w:rPr>
  </w:style>
  <w:style w:type="character" w:styleId="ListLabel187">
    <w:name w:val="ListLabel 187"/>
    <w:qFormat/>
    <w:rPr>
      <w:rFonts w:ascii="Arial" w:hAnsi="Arial" w:cs="Arial"/>
      <w:sz w:val="24"/>
    </w:rPr>
  </w:style>
  <w:style w:type="character" w:styleId="ListLabel188">
    <w:name w:val="ListLabel 188"/>
    <w:qFormat/>
    <w:rPr>
      <w:rFonts w:ascii="Arial" w:hAnsi="Arial" w:eastAsia="Times New Roman" w:cs="Arial"/>
      <w:sz w:val="24"/>
    </w:rPr>
  </w:style>
  <w:style w:type="character" w:styleId="ListLabel189">
    <w:name w:val="ListLabel 189"/>
    <w:qFormat/>
    <w:rPr>
      <w:rFonts w:ascii="Arial" w:hAnsi="Arial" w:eastAsia="Times New Roman" w:cs="Arial"/>
      <w:sz w:val="24"/>
    </w:rPr>
  </w:style>
  <w:style w:type="character" w:styleId="ListLabel190">
    <w:name w:val="ListLabel 190"/>
    <w:qFormat/>
    <w:rPr>
      <w:rFonts w:ascii="Arial" w:hAnsi="Arial" w:eastAsia="Times New Roman" w:cs="Arial"/>
      <w:sz w:val="24"/>
    </w:rPr>
  </w:style>
  <w:style w:type="character" w:styleId="ListLabel191">
    <w:name w:val="ListLabel 191"/>
    <w:qFormat/>
    <w:rPr>
      <w:rFonts w:ascii="Arial" w:hAnsi="Arial" w:eastAsia="Times New Roman" w:cs="Arial"/>
      <w:sz w:val="24"/>
    </w:rPr>
  </w:style>
  <w:style w:type="character" w:styleId="ListLabel192">
    <w:name w:val="ListLabel 192"/>
    <w:qFormat/>
    <w:rPr>
      <w:rFonts w:ascii="Arial" w:hAnsi="Arial" w:eastAsia="Times New Roman" w:cs="Arial"/>
      <w:sz w:val="24"/>
    </w:rPr>
  </w:style>
  <w:style w:type="character" w:styleId="ListLabel193">
    <w:name w:val="ListLabel 193"/>
    <w:qFormat/>
    <w:rPr>
      <w:rFonts w:ascii="Arial" w:hAnsi="Arial" w:eastAsia="Times New Roman" w:cs="Arial"/>
      <w:sz w:val="24"/>
    </w:rPr>
  </w:style>
  <w:style w:type="character" w:styleId="ListLabel194">
    <w:name w:val="ListLabel 194"/>
    <w:qFormat/>
    <w:rPr>
      <w:rFonts w:cs="Courier New"/>
    </w:rPr>
  </w:style>
  <w:style w:type="character" w:styleId="ListLabel195">
    <w:name w:val="ListLabel 195"/>
    <w:qFormat/>
    <w:rPr>
      <w:rFonts w:cs="Courier New"/>
    </w:rPr>
  </w:style>
  <w:style w:type="character" w:styleId="ListLabel196">
    <w:name w:val="ListLabel 196"/>
    <w:qFormat/>
    <w:rPr>
      <w:rFonts w:cs="Courier New"/>
    </w:rPr>
  </w:style>
  <w:style w:type="character" w:styleId="ListLabel197">
    <w:name w:val="ListLabel 197"/>
    <w:qFormat/>
    <w:rPr>
      <w:rFonts w:ascii="Arial" w:hAnsi="Arial" w:cs="Symbol"/>
      <w:b w:val="false"/>
      <w:color w:val="000000"/>
      <w:sz w:val="24"/>
      <w:szCs w:val="24"/>
      <w:highlight w:val="white"/>
      <w:lang w:val="en-US" w:eastAsia="en-US" w:bidi="hi-IN"/>
    </w:rPr>
  </w:style>
  <w:style w:type="character" w:styleId="ListLabel198">
    <w:name w:val="ListLabel 198"/>
    <w:qFormat/>
    <w:rPr>
      <w:rFonts w:ascii="Arial" w:hAnsi="Arial" w:eastAsia="SimSun" w:cs="Arial"/>
      <w:sz w:val="24"/>
      <w:szCs w:val="24"/>
      <w:lang w:bidi="hi-IN"/>
    </w:rPr>
  </w:style>
  <w:style w:type="character" w:styleId="ListLabel199">
    <w:name w:val="ListLabel 199"/>
    <w:qFormat/>
    <w:rPr>
      <w:rFonts w:ascii="Arial" w:hAnsi="Arial" w:eastAsia="SimSun" w:cs="Arial"/>
      <w:sz w:val="24"/>
      <w:szCs w:val="24"/>
      <w:lang w:bidi="hi-IN"/>
    </w:rPr>
  </w:style>
  <w:style w:type="character" w:styleId="ListLabel200">
    <w:name w:val="ListLabel 200"/>
    <w:qFormat/>
    <w:rPr>
      <w:rFonts w:ascii="Arial" w:hAnsi="Arial" w:eastAsia="SimSun" w:cs="Arial"/>
      <w:sz w:val="24"/>
    </w:rPr>
  </w:style>
  <w:style w:type="character" w:styleId="ListLabel201">
    <w:name w:val="ListLabel 201"/>
    <w:qFormat/>
    <w:rPr>
      <w:rFonts w:ascii="Arial" w:hAnsi="Arial" w:eastAsia="Times New Roman" w:cs="Arial"/>
      <w:sz w:val="24"/>
    </w:rPr>
  </w:style>
  <w:style w:type="character" w:styleId="ListLabel202">
    <w:name w:val="ListLabel 202"/>
    <w:qFormat/>
    <w:rPr>
      <w:rFonts w:cs="Arial"/>
      <w:b/>
      <w:sz w:val="24"/>
    </w:rPr>
  </w:style>
  <w:style w:type="character" w:styleId="ListLabel203">
    <w:name w:val="ListLabel 203"/>
    <w:qFormat/>
    <w:rPr>
      <w:rFonts w:ascii="Arial" w:hAnsi="Arial" w:cs="Symbol"/>
      <w:sz w:val="24"/>
    </w:rPr>
  </w:style>
  <w:style w:type="character" w:styleId="ListLabel204">
    <w:name w:val="ListLabel 204"/>
    <w:qFormat/>
    <w:rPr>
      <w:rFonts w:cs="Courier New"/>
    </w:rPr>
  </w:style>
  <w:style w:type="character" w:styleId="ListLabel205">
    <w:name w:val="ListLabel 205"/>
    <w:qFormat/>
    <w:rPr>
      <w:rFonts w:cs="Wingdings"/>
    </w:rPr>
  </w:style>
  <w:style w:type="character" w:styleId="ListLabel206">
    <w:name w:val="ListLabel 206"/>
    <w:qFormat/>
    <w:rPr>
      <w:rFonts w:cs="Symbol"/>
    </w:rPr>
  </w:style>
  <w:style w:type="character" w:styleId="ListLabel207">
    <w:name w:val="ListLabel 207"/>
    <w:qFormat/>
    <w:rPr>
      <w:rFonts w:cs="Courier New"/>
    </w:rPr>
  </w:style>
  <w:style w:type="character" w:styleId="ListLabel208">
    <w:name w:val="ListLabel 208"/>
    <w:qFormat/>
    <w:rPr>
      <w:rFonts w:cs="Wingdings"/>
    </w:rPr>
  </w:style>
  <w:style w:type="character" w:styleId="ListLabel209">
    <w:name w:val="ListLabel 209"/>
    <w:qFormat/>
    <w:rPr>
      <w:rFonts w:cs="Symbol"/>
    </w:rPr>
  </w:style>
  <w:style w:type="character" w:styleId="ListLabel210">
    <w:name w:val="ListLabel 210"/>
    <w:qFormat/>
    <w:rPr>
      <w:rFonts w:cs="Courier New"/>
    </w:rPr>
  </w:style>
  <w:style w:type="character" w:styleId="ListLabel211">
    <w:name w:val="ListLabel 211"/>
    <w:qFormat/>
    <w:rPr>
      <w:rFonts w:cs="Wingdings"/>
    </w:rPr>
  </w:style>
  <w:style w:type="character" w:styleId="ListLabel212">
    <w:name w:val="ListLabel 212"/>
    <w:qFormat/>
    <w:rPr>
      <w:rFonts w:ascii="Arial" w:hAnsi="Arial" w:cs="Symbol"/>
      <w:sz w:val="24"/>
    </w:rPr>
  </w:style>
  <w:style w:type="character" w:styleId="ListLabel213">
    <w:name w:val="ListLabel 213"/>
    <w:qFormat/>
    <w:rPr>
      <w:rFonts w:cs="Courier New"/>
    </w:rPr>
  </w:style>
  <w:style w:type="character" w:styleId="ListLabel214">
    <w:name w:val="ListLabel 214"/>
    <w:qFormat/>
    <w:rPr>
      <w:rFonts w:cs="Wingdings"/>
    </w:rPr>
  </w:style>
  <w:style w:type="character" w:styleId="ListLabel215">
    <w:name w:val="ListLabel 215"/>
    <w:qFormat/>
    <w:rPr>
      <w:rFonts w:cs="Symbol"/>
    </w:rPr>
  </w:style>
  <w:style w:type="character" w:styleId="ListLabel216">
    <w:name w:val="ListLabel 216"/>
    <w:qFormat/>
    <w:rPr>
      <w:rFonts w:cs="Courier New"/>
    </w:rPr>
  </w:style>
  <w:style w:type="character" w:styleId="ListLabel217">
    <w:name w:val="ListLabel 217"/>
    <w:qFormat/>
    <w:rPr>
      <w:rFonts w:cs="Wingdings"/>
    </w:rPr>
  </w:style>
  <w:style w:type="character" w:styleId="ListLabel218">
    <w:name w:val="ListLabel 218"/>
    <w:qFormat/>
    <w:rPr>
      <w:rFonts w:cs="Symbol"/>
    </w:rPr>
  </w:style>
  <w:style w:type="character" w:styleId="ListLabel219">
    <w:name w:val="ListLabel 219"/>
    <w:qFormat/>
    <w:rPr>
      <w:rFonts w:cs="Courier New"/>
    </w:rPr>
  </w:style>
  <w:style w:type="character" w:styleId="ListLabel220">
    <w:name w:val="ListLabel 220"/>
    <w:qFormat/>
    <w:rPr>
      <w:rFonts w:cs="Wingdings"/>
    </w:rPr>
  </w:style>
  <w:style w:type="character" w:styleId="ListLabel221">
    <w:name w:val="ListLabel 221"/>
    <w:qFormat/>
    <w:rPr>
      <w:rFonts w:ascii="Arial" w:hAnsi="Arial" w:cs="Symbol"/>
      <w:sz w:val="24"/>
    </w:rPr>
  </w:style>
  <w:style w:type="character" w:styleId="ListLabel222">
    <w:name w:val="ListLabel 222"/>
    <w:qFormat/>
    <w:rPr>
      <w:rFonts w:cs="Courier New"/>
    </w:rPr>
  </w:style>
  <w:style w:type="character" w:styleId="ListLabel223">
    <w:name w:val="ListLabel 223"/>
    <w:qFormat/>
    <w:rPr>
      <w:rFonts w:cs="Wingdings"/>
    </w:rPr>
  </w:style>
  <w:style w:type="character" w:styleId="ListLabel224">
    <w:name w:val="ListLabel 224"/>
    <w:qFormat/>
    <w:rPr>
      <w:rFonts w:cs="Symbol"/>
    </w:rPr>
  </w:style>
  <w:style w:type="character" w:styleId="ListLabel225">
    <w:name w:val="ListLabel 225"/>
    <w:qFormat/>
    <w:rPr>
      <w:rFonts w:cs="Courier New"/>
    </w:rPr>
  </w:style>
  <w:style w:type="character" w:styleId="ListLabel226">
    <w:name w:val="ListLabel 226"/>
    <w:qFormat/>
    <w:rPr>
      <w:rFonts w:cs="Wingdings"/>
    </w:rPr>
  </w:style>
  <w:style w:type="character" w:styleId="ListLabel227">
    <w:name w:val="ListLabel 227"/>
    <w:qFormat/>
    <w:rPr>
      <w:rFonts w:cs="Symbol"/>
    </w:rPr>
  </w:style>
  <w:style w:type="character" w:styleId="ListLabel228">
    <w:name w:val="ListLabel 228"/>
    <w:qFormat/>
    <w:rPr>
      <w:rFonts w:cs="Courier New"/>
    </w:rPr>
  </w:style>
  <w:style w:type="character" w:styleId="ListLabel229">
    <w:name w:val="ListLabel 229"/>
    <w:qFormat/>
    <w:rPr>
      <w:rFonts w:cs="Wingdings"/>
    </w:rPr>
  </w:style>
  <w:style w:type="character" w:styleId="ListLabel230">
    <w:name w:val="ListLabel 230"/>
    <w:qFormat/>
    <w:rPr>
      <w:rFonts w:ascii="Arial" w:hAnsi="Arial" w:cs="Symbol"/>
      <w:sz w:val="24"/>
    </w:rPr>
  </w:style>
  <w:style w:type="character" w:styleId="ListLabel231">
    <w:name w:val="ListLabel 231"/>
    <w:qFormat/>
    <w:rPr>
      <w:rFonts w:cs="Courier New"/>
    </w:rPr>
  </w:style>
  <w:style w:type="character" w:styleId="ListLabel232">
    <w:name w:val="ListLabel 232"/>
    <w:qFormat/>
    <w:rPr>
      <w:rFonts w:cs="Wingdings"/>
    </w:rPr>
  </w:style>
  <w:style w:type="character" w:styleId="ListLabel233">
    <w:name w:val="ListLabel 233"/>
    <w:qFormat/>
    <w:rPr>
      <w:rFonts w:cs="Symbol"/>
    </w:rPr>
  </w:style>
  <w:style w:type="character" w:styleId="ListLabel234">
    <w:name w:val="ListLabel 234"/>
    <w:qFormat/>
    <w:rPr>
      <w:rFonts w:cs="Courier New"/>
    </w:rPr>
  </w:style>
  <w:style w:type="character" w:styleId="ListLabel235">
    <w:name w:val="ListLabel 235"/>
    <w:qFormat/>
    <w:rPr>
      <w:rFonts w:cs="Wingdings"/>
    </w:rPr>
  </w:style>
  <w:style w:type="character" w:styleId="ListLabel236">
    <w:name w:val="ListLabel 236"/>
    <w:qFormat/>
    <w:rPr>
      <w:rFonts w:cs="Symbol"/>
    </w:rPr>
  </w:style>
  <w:style w:type="character" w:styleId="ListLabel237">
    <w:name w:val="ListLabel 237"/>
    <w:qFormat/>
    <w:rPr>
      <w:rFonts w:cs="Courier New"/>
    </w:rPr>
  </w:style>
  <w:style w:type="character" w:styleId="ListLabel238">
    <w:name w:val="ListLabel 238"/>
    <w:qFormat/>
    <w:rPr>
      <w:rFonts w:cs="Wingdings"/>
    </w:rPr>
  </w:style>
  <w:style w:type="character" w:styleId="ListLabel239">
    <w:name w:val="ListLabel 239"/>
    <w:qFormat/>
    <w:rPr>
      <w:rFonts w:ascii="Arial" w:hAnsi="Arial" w:cs="Symbol"/>
      <w:sz w:val="24"/>
    </w:rPr>
  </w:style>
  <w:style w:type="character" w:styleId="ListLabel240">
    <w:name w:val="ListLabel 240"/>
    <w:qFormat/>
    <w:rPr>
      <w:rFonts w:cs="Courier New"/>
    </w:rPr>
  </w:style>
  <w:style w:type="character" w:styleId="ListLabel241">
    <w:name w:val="ListLabel 241"/>
    <w:qFormat/>
    <w:rPr>
      <w:rFonts w:cs="Wingdings"/>
    </w:rPr>
  </w:style>
  <w:style w:type="character" w:styleId="ListLabel242">
    <w:name w:val="ListLabel 242"/>
    <w:qFormat/>
    <w:rPr>
      <w:rFonts w:cs="Symbol"/>
    </w:rPr>
  </w:style>
  <w:style w:type="character" w:styleId="ListLabel243">
    <w:name w:val="ListLabel 243"/>
    <w:qFormat/>
    <w:rPr>
      <w:rFonts w:cs="Courier New"/>
    </w:rPr>
  </w:style>
  <w:style w:type="character" w:styleId="ListLabel244">
    <w:name w:val="ListLabel 244"/>
    <w:qFormat/>
    <w:rPr>
      <w:rFonts w:cs="Wingdings"/>
    </w:rPr>
  </w:style>
  <w:style w:type="character" w:styleId="ListLabel245">
    <w:name w:val="ListLabel 245"/>
    <w:qFormat/>
    <w:rPr>
      <w:rFonts w:cs="Symbol"/>
    </w:rPr>
  </w:style>
  <w:style w:type="character" w:styleId="ListLabel246">
    <w:name w:val="ListLabel 246"/>
    <w:qFormat/>
    <w:rPr>
      <w:rFonts w:cs="Courier New"/>
    </w:rPr>
  </w:style>
  <w:style w:type="character" w:styleId="ListLabel247">
    <w:name w:val="ListLabel 247"/>
    <w:qFormat/>
    <w:rPr>
      <w:rFonts w:cs="Wingdings"/>
    </w:rPr>
  </w:style>
  <w:style w:type="character" w:styleId="ListLabel248">
    <w:name w:val="ListLabel 248"/>
    <w:qFormat/>
    <w:rPr>
      <w:rFonts w:ascii="Arial" w:hAnsi="Arial" w:cs="Symbol"/>
      <w:sz w:val="24"/>
    </w:rPr>
  </w:style>
  <w:style w:type="character" w:styleId="ListLabel249">
    <w:name w:val="ListLabel 249"/>
    <w:qFormat/>
    <w:rPr>
      <w:rFonts w:ascii="Arial" w:hAnsi="Arial" w:cs="Courier New"/>
      <w:sz w:val="24"/>
    </w:rPr>
  </w:style>
  <w:style w:type="character" w:styleId="ListLabel250">
    <w:name w:val="ListLabel 250"/>
    <w:qFormat/>
    <w:rPr>
      <w:rFonts w:cs="Wingdings"/>
    </w:rPr>
  </w:style>
  <w:style w:type="character" w:styleId="ListLabel251">
    <w:name w:val="ListLabel 251"/>
    <w:qFormat/>
    <w:rPr>
      <w:rFonts w:cs="Symbol"/>
    </w:rPr>
  </w:style>
  <w:style w:type="character" w:styleId="ListLabel252">
    <w:name w:val="ListLabel 252"/>
    <w:qFormat/>
    <w:rPr>
      <w:rFonts w:cs="Courier New"/>
    </w:rPr>
  </w:style>
  <w:style w:type="character" w:styleId="ListLabel253">
    <w:name w:val="ListLabel 253"/>
    <w:qFormat/>
    <w:rPr>
      <w:rFonts w:cs="Wingdings"/>
    </w:rPr>
  </w:style>
  <w:style w:type="character" w:styleId="ListLabel254">
    <w:name w:val="ListLabel 254"/>
    <w:qFormat/>
    <w:rPr>
      <w:rFonts w:cs="Symbol"/>
    </w:rPr>
  </w:style>
  <w:style w:type="character" w:styleId="ListLabel255">
    <w:name w:val="ListLabel 255"/>
    <w:qFormat/>
    <w:rPr>
      <w:rFonts w:cs="Courier New"/>
    </w:rPr>
  </w:style>
  <w:style w:type="character" w:styleId="ListLabel256">
    <w:name w:val="ListLabel 256"/>
    <w:qFormat/>
    <w:rPr>
      <w:rFonts w:cs="Wingdings"/>
    </w:rPr>
  </w:style>
  <w:style w:type="character" w:styleId="ListLabel257">
    <w:name w:val="ListLabel 257"/>
    <w:qFormat/>
    <w:rPr>
      <w:rFonts w:ascii="Arial" w:hAnsi="Arial" w:cs="Symbol"/>
      <w:b/>
      <w:sz w:val="24"/>
    </w:rPr>
  </w:style>
  <w:style w:type="character" w:styleId="ListLabel258">
    <w:name w:val="ListLabel 258"/>
    <w:qFormat/>
    <w:rPr>
      <w:rFonts w:ascii="Arial" w:hAnsi="Arial" w:cs="Courier New"/>
      <w:sz w:val="24"/>
    </w:rPr>
  </w:style>
  <w:style w:type="character" w:styleId="ListLabel259">
    <w:name w:val="ListLabel 259"/>
    <w:qFormat/>
    <w:rPr>
      <w:rFonts w:cs="Wingdings"/>
    </w:rPr>
  </w:style>
  <w:style w:type="character" w:styleId="ListLabel260">
    <w:name w:val="ListLabel 260"/>
    <w:qFormat/>
    <w:rPr>
      <w:rFonts w:cs="Symbol"/>
    </w:rPr>
  </w:style>
  <w:style w:type="character" w:styleId="ListLabel261">
    <w:name w:val="ListLabel 261"/>
    <w:qFormat/>
    <w:rPr>
      <w:rFonts w:cs="Courier New"/>
    </w:rPr>
  </w:style>
  <w:style w:type="character" w:styleId="ListLabel262">
    <w:name w:val="ListLabel 262"/>
    <w:qFormat/>
    <w:rPr>
      <w:rFonts w:cs="Wingdings"/>
    </w:rPr>
  </w:style>
  <w:style w:type="character" w:styleId="ListLabel263">
    <w:name w:val="ListLabel 263"/>
    <w:qFormat/>
    <w:rPr>
      <w:rFonts w:cs="Symbol"/>
    </w:rPr>
  </w:style>
  <w:style w:type="character" w:styleId="ListLabel264">
    <w:name w:val="ListLabel 264"/>
    <w:qFormat/>
    <w:rPr>
      <w:rFonts w:cs="Courier New"/>
    </w:rPr>
  </w:style>
  <w:style w:type="character" w:styleId="ListLabel265">
    <w:name w:val="ListLabel 265"/>
    <w:qFormat/>
    <w:rPr>
      <w:rFonts w:cs="Wingdings"/>
    </w:rPr>
  </w:style>
  <w:style w:type="character" w:styleId="ListLabel266">
    <w:name w:val="ListLabel 266"/>
    <w:qFormat/>
    <w:rPr>
      <w:rFonts w:ascii="Arial" w:hAnsi="Arial" w:cs="Symbol"/>
      <w:sz w:val="24"/>
    </w:rPr>
  </w:style>
  <w:style w:type="character" w:styleId="ListLabel267">
    <w:name w:val="ListLabel 267"/>
    <w:qFormat/>
    <w:rPr>
      <w:rFonts w:cs="Courier New"/>
    </w:rPr>
  </w:style>
  <w:style w:type="character" w:styleId="ListLabel268">
    <w:name w:val="ListLabel 268"/>
    <w:qFormat/>
    <w:rPr>
      <w:rFonts w:cs="Wingdings"/>
    </w:rPr>
  </w:style>
  <w:style w:type="character" w:styleId="ListLabel269">
    <w:name w:val="ListLabel 269"/>
    <w:qFormat/>
    <w:rPr>
      <w:rFonts w:cs="Symbol"/>
    </w:rPr>
  </w:style>
  <w:style w:type="character" w:styleId="ListLabel270">
    <w:name w:val="ListLabel 270"/>
    <w:qFormat/>
    <w:rPr>
      <w:rFonts w:cs="Courier New"/>
    </w:rPr>
  </w:style>
  <w:style w:type="character" w:styleId="ListLabel271">
    <w:name w:val="ListLabel 271"/>
    <w:qFormat/>
    <w:rPr>
      <w:rFonts w:cs="Wingdings"/>
    </w:rPr>
  </w:style>
  <w:style w:type="character" w:styleId="ListLabel272">
    <w:name w:val="ListLabel 272"/>
    <w:qFormat/>
    <w:rPr>
      <w:rFonts w:cs="Symbol"/>
    </w:rPr>
  </w:style>
  <w:style w:type="character" w:styleId="ListLabel273">
    <w:name w:val="ListLabel 273"/>
    <w:qFormat/>
    <w:rPr>
      <w:rFonts w:cs="Courier New"/>
    </w:rPr>
  </w:style>
  <w:style w:type="character" w:styleId="ListLabel274">
    <w:name w:val="ListLabel 274"/>
    <w:qFormat/>
    <w:rPr>
      <w:rFonts w:cs="Wingdings"/>
    </w:rPr>
  </w:style>
  <w:style w:type="character" w:styleId="ListLabel275">
    <w:name w:val="ListLabel 275"/>
    <w:qFormat/>
    <w:rPr>
      <w:rFonts w:ascii="Arial" w:hAnsi="Arial" w:cs="Symbol"/>
      <w:sz w:val="24"/>
    </w:rPr>
  </w:style>
  <w:style w:type="character" w:styleId="ListLabel276">
    <w:name w:val="ListLabel 276"/>
    <w:qFormat/>
    <w:rPr>
      <w:rFonts w:cs="Courier New"/>
    </w:rPr>
  </w:style>
  <w:style w:type="character" w:styleId="ListLabel277">
    <w:name w:val="ListLabel 277"/>
    <w:qFormat/>
    <w:rPr>
      <w:rFonts w:cs="Wingdings"/>
    </w:rPr>
  </w:style>
  <w:style w:type="character" w:styleId="ListLabel278">
    <w:name w:val="ListLabel 278"/>
    <w:qFormat/>
    <w:rPr>
      <w:rFonts w:cs="Symbol"/>
    </w:rPr>
  </w:style>
  <w:style w:type="character" w:styleId="ListLabel279">
    <w:name w:val="ListLabel 279"/>
    <w:qFormat/>
    <w:rPr>
      <w:rFonts w:cs="Courier New"/>
    </w:rPr>
  </w:style>
  <w:style w:type="character" w:styleId="ListLabel280">
    <w:name w:val="ListLabel 280"/>
    <w:qFormat/>
    <w:rPr>
      <w:rFonts w:cs="Wingdings"/>
    </w:rPr>
  </w:style>
  <w:style w:type="character" w:styleId="ListLabel281">
    <w:name w:val="ListLabel 281"/>
    <w:qFormat/>
    <w:rPr>
      <w:rFonts w:cs="Symbol"/>
    </w:rPr>
  </w:style>
  <w:style w:type="character" w:styleId="ListLabel282">
    <w:name w:val="ListLabel 282"/>
    <w:qFormat/>
    <w:rPr>
      <w:rFonts w:cs="Courier New"/>
    </w:rPr>
  </w:style>
  <w:style w:type="character" w:styleId="ListLabel283">
    <w:name w:val="ListLabel 283"/>
    <w:qFormat/>
    <w:rPr>
      <w:rFonts w:cs="Wingdings"/>
    </w:rPr>
  </w:style>
  <w:style w:type="character" w:styleId="ListLabel284">
    <w:name w:val="ListLabel 284"/>
    <w:qFormat/>
    <w:rPr>
      <w:rFonts w:ascii="Arial" w:hAnsi="Arial" w:cs="Symbol"/>
      <w:sz w:val="24"/>
    </w:rPr>
  </w:style>
  <w:style w:type="character" w:styleId="ListLabel285">
    <w:name w:val="ListLabel 285"/>
    <w:qFormat/>
    <w:rPr>
      <w:rFonts w:cs="Courier New"/>
    </w:rPr>
  </w:style>
  <w:style w:type="character" w:styleId="ListLabel286">
    <w:name w:val="ListLabel 286"/>
    <w:qFormat/>
    <w:rPr>
      <w:rFonts w:cs="Wingdings"/>
    </w:rPr>
  </w:style>
  <w:style w:type="character" w:styleId="ListLabel287">
    <w:name w:val="ListLabel 287"/>
    <w:qFormat/>
    <w:rPr>
      <w:rFonts w:cs="Symbol"/>
    </w:rPr>
  </w:style>
  <w:style w:type="character" w:styleId="ListLabel288">
    <w:name w:val="ListLabel 288"/>
    <w:qFormat/>
    <w:rPr>
      <w:rFonts w:cs="Courier New"/>
    </w:rPr>
  </w:style>
  <w:style w:type="character" w:styleId="ListLabel289">
    <w:name w:val="ListLabel 289"/>
    <w:qFormat/>
    <w:rPr>
      <w:rFonts w:cs="Wingdings"/>
    </w:rPr>
  </w:style>
  <w:style w:type="character" w:styleId="ListLabel290">
    <w:name w:val="ListLabel 290"/>
    <w:qFormat/>
    <w:rPr>
      <w:rFonts w:cs="Symbol"/>
    </w:rPr>
  </w:style>
  <w:style w:type="character" w:styleId="ListLabel291">
    <w:name w:val="ListLabel 291"/>
    <w:qFormat/>
    <w:rPr>
      <w:rFonts w:cs="Courier New"/>
    </w:rPr>
  </w:style>
  <w:style w:type="character" w:styleId="ListLabel292">
    <w:name w:val="ListLabel 292"/>
    <w:qFormat/>
    <w:rPr>
      <w:rFonts w:cs="Wingdings"/>
    </w:rPr>
  </w:style>
  <w:style w:type="character" w:styleId="ListLabel293">
    <w:name w:val="ListLabel 293"/>
    <w:qFormat/>
    <w:rPr>
      <w:rFonts w:ascii="Arial" w:hAnsi="Arial" w:cs="Symbol"/>
      <w:b/>
      <w:sz w:val="24"/>
    </w:rPr>
  </w:style>
  <w:style w:type="character" w:styleId="ListLabel294">
    <w:name w:val="ListLabel 294"/>
    <w:qFormat/>
    <w:rPr>
      <w:rFonts w:cs="Courier New"/>
    </w:rPr>
  </w:style>
  <w:style w:type="character" w:styleId="ListLabel295">
    <w:name w:val="ListLabel 295"/>
    <w:qFormat/>
    <w:rPr>
      <w:rFonts w:cs="Wingdings"/>
    </w:rPr>
  </w:style>
  <w:style w:type="character" w:styleId="ListLabel296">
    <w:name w:val="ListLabel 296"/>
    <w:qFormat/>
    <w:rPr>
      <w:rFonts w:cs="Symbol"/>
    </w:rPr>
  </w:style>
  <w:style w:type="character" w:styleId="ListLabel297">
    <w:name w:val="ListLabel 297"/>
    <w:qFormat/>
    <w:rPr>
      <w:rFonts w:cs="Courier New"/>
    </w:rPr>
  </w:style>
  <w:style w:type="character" w:styleId="ListLabel298">
    <w:name w:val="ListLabel 298"/>
    <w:qFormat/>
    <w:rPr>
      <w:rFonts w:cs="Wingdings"/>
    </w:rPr>
  </w:style>
  <w:style w:type="character" w:styleId="ListLabel299">
    <w:name w:val="ListLabel 299"/>
    <w:qFormat/>
    <w:rPr>
      <w:rFonts w:cs="Symbol"/>
    </w:rPr>
  </w:style>
  <w:style w:type="character" w:styleId="ListLabel300">
    <w:name w:val="ListLabel 300"/>
    <w:qFormat/>
    <w:rPr>
      <w:rFonts w:cs="Courier New"/>
    </w:rPr>
  </w:style>
  <w:style w:type="character" w:styleId="ListLabel301">
    <w:name w:val="ListLabel 301"/>
    <w:qFormat/>
    <w:rPr>
      <w:rFonts w:cs="Wingdings"/>
    </w:rPr>
  </w:style>
  <w:style w:type="character" w:styleId="ListLabel302">
    <w:name w:val="ListLabel 302"/>
    <w:qFormat/>
    <w:rPr>
      <w:rFonts w:ascii="Arial" w:hAnsi="Arial" w:cs="Symbol"/>
      <w:sz w:val="24"/>
    </w:rPr>
  </w:style>
  <w:style w:type="character" w:styleId="ListLabel303">
    <w:name w:val="ListLabel 303"/>
    <w:qFormat/>
    <w:rPr>
      <w:rFonts w:cs="Courier New"/>
    </w:rPr>
  </w:style>
  <w:style w:type="character" w:styleId="ListLabel304">
    <w:name w:val="ListLabel 304"/>
    <w:qFormat/>
    <w:rPr>
      <w:rFonts w:cs="Wingdings"/>
    </w:rPr>
  </w:style>
  <w:style w:type="character" w:styleId="ListLabel305">
    <w:name w:val="ListLabel 305"/>
    <w:qFormat/>
    <w:rPr>
      <w:rFonts w:cs="Symbol"/>
    </w:rPr>
  </w:style>
  <w:style w:type="character" w:styleId="ListLabel306">
    <w:name w:val="ListLabel 306"/>
    <w:qFormat/>
    <w:rPr>
      <w:rFonts w:cs="Courier New"/>
    </w:rPr>
  </w:style>
  <w:style w:type="character" w:styleId="ListLabel307">
    <w:name w:val="ListLabel 307"/>
    <w:qFormat/>
    <w:rPr>
      <w:rFonts w:cs="Wingdings"/>
    </w:rPr>
  </w:style>
  <w:style w:type="character" w:styleId="ListLabel308">
    <w:name w:val="ListLabel 308"/>
    <w:qFormat/>
    <w:rPr>
      <w:rFonts w:cs="Symbol"/>
    </w:rPr>
  </w:style>
  <w:style w:type="character" w:styleId="ListLabel309">
    <w:name w:val="ListLabel 309"/>
    <w:qFormat/>
    <w:rPr>
      <w:rFonts w:cs="Courier New"/>
    </w:rPr>
  </w:style>
  <w:style w:type="character" w:styleId="ListLabel310">
    <w:name w:val="ListLabel 310"/>
    <w:qFormat/>
    <w:rPr>
      <w:rFonts w:cs="Wingdings"/>
    </w:rPr>
  </w:style>
  <w:style w:type="character" w:styleId="ListLabel311">
    <w:name w:val="ListLabel 311"/>
    <w:qFormat/>
    <w:rPr>
      <w:rFonts w:ascii="Arial" w:hAnsi="Arial" w:cs="Symbol"/>
      <w:sz w:val="24"/>
    </w:rPr>
  </w:style>
  <w:style w:type="character" w:styleId="ListLabel312">
    <w:name w:val="ListLabel 312"/>
    <w:qFormat/>
    <w:rPr>
      <w:rFonts w:cs="Courier New"/>
    </w:rPr>
  </w:style>
  <w:style w:type="character" w:styleId="ListLabel313">
    <w:name w:val="ListLabel 313"/>
    <w:qFormat/>
    <w:rPr>
      <w:rFonts w:cs="Wingdings"/>
    </w:rPr>
  </w:style>
  <w:style w:type="character" w:styleId="ListLabel314">
    <w:name w:val="ListLabel 314"/>
    <w:qFormat/>
    <w:rPr>
      <w:rFonts w:cs="Symbol"/>
    </w:rPr>
  </w:style>
  <w:style w:type="character" w:styleId="ListLabel315">
    <w:name w:val="ListLabel 315"/>
    <w:qFormat/>
    <w:rPr>
      <w:rFonts w:cs="Courier New"/>
    </w:rPr>
  </w:style>
  <w:style w:type="character" w:styleId="ListLabel316">
    <w:name w:val="ListLabel 316"/>
    <w:qFormat/>
    <w:rPr>
      <w:rFonts w:cs="Wingdings"/>
    </w:rPr>
  </w:style>
  <w:style w:type="character" w:styleId="ListLabel317">
    <w:name w:val="ListLabel 317"/>
    <w:qFormat/>
    <w:rPr>
      <w:rFonts w:cs="Symbol"/>
    </w:rPr>
  </w:style>
  <w:style w:type="character" w:styleId="ListLabel318">
    <w:name w:val="ListLabel 318"/>
    <w:qFormat/>
    <w:rPr>
      <w:rFonts w:cs="Courier New"/>
    </w:rPr>
  </w:style>
  <w:style w:type="character" w:styleId="ListLabel319">
    <w:name w:val="ListLabel 319"/>
    <w:qFormat/>
    <w:rPr>
      <w:rFonts w:cs="Wingdings"/>
    </w:rPr>
  </w:style>
  <w:style w:type="character" w:styleId="ListLabel320">
    <w:name w:val="ListLabel 320"/>
    <w:qFormat/>
    <w:rPr>
      <w:rFonts w:ascii="Arial" w:hAnsi="Arial" w:cs="Symbol"/>
      <w:sz w:val="24"/>
    </w:rPr>
  </w:style>
  <w:style w:type="character" w:styleId="ListLabel321">
    <w:name w:val="ListLabel 321"/>
    <w:qFormat/>
    <w:rPr>
      <w:rFonts w:cs="Courier New"/>
    </w:rPr>
  </w:style>
  <w:style w:type="character" w:styleId="ListLabel322">
    <w:name w:val="ListLabel 322"/>
    <w:qFormat/>
    <w:rPr>
      <w:rFonts w:cs="Wingdings"/>
    </w:rPr>
  </w:style>
  <w:style w:type="character" w:styleId="ListLabel323">
    <w:name w:val="ListLabel 323"/>
    <w:qFormat/>
    <w:rPr>
      <w:rFonts w:cs="Symbol"/>
    </w:rPr>
  </w:style>
  <w:style w:type="character" w:styleId="ListLabel324">
    <w:name w:val="ListLabel 324"/>
    <w:qFormat/>
    <w:rPr>
      <w:rFonts w:cs="Courier New"/>
    </w:rPr>
  </w:style>
  <w:style w:type="character" w:styleId="ListLabel325">
    <w:name w:val="ListLabel 325"/>
    <w:qFormat/>
    <w:rPr>
      <w:rFonts w:cs="Wingdings"/>
    </w:rPr>
  </w:style>
  <w:style w:type="character" w:styleId="ListLabel326">
    <w:name w:val="ListLabel 326"/>
    <w:qFormat/>
    <w:rPr>
      <w:rFonts w:cs="Symbol"/>
    </w:rPr>
  </w:style>
  <w:style w:type="character" w:styleId="ListLabel327">
    <w:name w:val="ListLabel 327"/>
    <w:qFormat/>
    <w:rPr>
      <w:rFonts w:cs="Courier New"/>
    </w:rPr>
  </w:style>
  <w:style w:type="character" w:styleId="ListLabel328">
    <w:name w:val="ListLabel 328"/>
    <w:qFormat/>
    <w:rPr>
      <w:rFonts w:cs="Wingdings"/>
    </w:rPr>
  </w:style>
  <w:style w:type="character" w:styleId="ListLabel329">
    <w:name w:val="ListLabel 329"/>
    <w:qFormat/>
    <w:rPr>
      <w:rFonts w:ascii="Arial" w:hAnsi="Arial" w:cs="Symbol"/>
      <w:b/>
      <w:sz w:val="24"/>
    </w:rPr>
  </w:style>
  <w:style w:type="character" w:styleId="ListLabel330">
    <w:name w:val="ListLabel 330"/>
    <w:qFormat/>
    <w:rPr>
      <w:rFonts w:ascii="Arial" w:hAnsi="Arial" w:cs="Courier New"/>
      <w:b/>
      <w:sz w:val="24"/>
    </w:rPr>
  </w:style>
  <w:style w:type="character" w:styleId="ListLabel331">
    <w:name w:val="ListLabel 331"/>
    <w:qFormat/>
    <w:rPr>
      <w:rFonts w:cs="Wingdings"/>
    </w:rPr>
  </w:style>
  <w:style w:type="character" w:styleId="ListLabel332">
    <w:name w:val="ListLabel 332"/>
    <w:qFormat/>
    <w:rPr>
      <w:rFonts w:ascii="Arial" w:hAnsi="Arial" w:cs="Symbol"/>
      <w:b/>
      <w:sz w:val="24"/>
    </w:rPr>
  </w:style>
  <w:style w:type="character" w:styleId="ListLabel333">
    <w:name w:val="ListLabel 333"/>
    <w:qFormat/>
    <w:rPr>
      <w:rFonts w:cs="Courier New"/>
    </w:rPr>
  </w:style>
  <w:style w:type="character" w:styleId="ListLabel334">
    <w:name w:val="ListLabel 334"/>
    <w:qFormat/>
    <w:rPr>
      <w:rFonts w:cs="Wingdings"/>
    </w:rPr>
  </w:style>
  <w:style w:type="character" w:styleId="ListLabel335">
    <w:name w:val="ListLabel 335"/>
    <w:qFormat/>
    <w:rPr>
      <w:rFonts w:cs="Symbol"/>
    </w:rPr>
  </w:style>
  <w:style w:type="character" w:styleId="ListLabel336">
    <w:name w:val="ListLabel 336"/>
    <w:qFormat/>
    <w:rPr>
      <w:rFonts w:cs="Courier New"/>
    </w:rPr>
  </w:style>
  <w:style w:type="character" w:styleId="ListLabel337">
    <w:name w:val="ListLabel 337"/>
    <w:qFormat/>
    <w:rPr>
      <w:rFonts w:cs="Wingdings"/>
    </w:rPr>
  </w:style>
  <w:style w:type="character" w:styleId="ListLabel338">
    <w:name w:val="ListLabel 338"/>
    <w:qFormat/>
    <w:rPr>
      <w:rFonts w:ascii="Arial" w:hAnsi="Arial" w:cs="Symbol"/>
      <w:b/>
      <w:sz w:val="24"/>
    </w:rPr>
  </w:style>
  <w:style w:type="character" w:styleId="ListLabel339">
    <w:name w:val="ListLabel 339"/>
    <w:qFormat/>
    <w:rPr>
      <w:rFonts w:ascii="Arial" w:hAnsi="Arial" w:cs="Courier New"/>
      <w:b/>
      <w:sz w:val="24"/>
    </w:rPr>
  </w:style>
  <w:style w:type="character" w:styleId="ListLabel340">
    <w:name w:val="ListLabel 340"/>
    <w:qFormat/>
    <w:rPr>
      <w:rFonts w:cs="Wingdings"/>
    </w:rPr>
  </w:style>
  <w:style w:type="character" w:styleId="ListLabel341">
    <w:name w:val="ListLabel 341"/>
    <w:qFormat/>
    <w:rPr>
      <w:rFonts w:cs="Symbol"/>
    </w:rPr>
  </w:style>
  <w:style w:type="character" w:styleId="ListLabel342">
    <w:name w:val="ListLabel 342"/>
    <w:qFormat/>
    <w:rPr>
      <w:rFonts w:cs="Courier New"/>
    </w:rPr>
  </w:style>
  <w:style w:type="character" w:styleId="ListLabel343">
    <w:name w:val="ListLabel 343"/>
    <w:qFormat/>
    <w:rPr>
      <w:rFonts w:cs="Wingdings"/>
    </w:rPr>
  </w:style>
  <w:style w:type="character" w:styleId="ListLabel344">
    <w:name w:val="ListLabel 344"/>
    <w:qFormat/>
    <w:rPr>
      <w:rFonts w:cs="Symbol"/>
    </w:rPr>
  </w:style>
  <w:style w:type="character" w:styleId="ListLabel345">
    <w:name w:val="ListLabel 345"/>
    <w:qFormat/>
    <w:rPr>
      <w:rFonts w:cs="Courier New"/>
    </w:rPr>
  </w:style>
  <w:style w:type="character" w:styleId="ListLabel346">
    <w:name w:val="ListLabel 346"/>
    <w:qFormat/>
    <w:rPr>
      <w:rFonts w:cs="Wingdings"/>
    </w:rPr>
  </w:style>
  <w:style w:type="character" w:styleId="ListLabel347">
    <w:name w:val="ListLabel 347"/>
    <w:qFormat/>
    <w:rPr>
      <w:rFonts w:ascii="Arial" w:hAnsi="Arial" w:cs="Symbol"/>
      <w:b/>
      <w:sz w:val="24"/>
    </w:rPr>
  </w:style>
  <w:style w:type="character" w:styleId="ListLabel348">
    <w:name w:val="ListLabel 348"/>
    <w:qFormat/>
    <w:rPr>
      <w:rFonts w:cs="Courier New"/>
    </w:rPr>
  </w:style>
  <w:style w:type="character" w:styleId="ListLabel349">
    <w:name w:val="ListLabel 349"/>
    <w:qFormat/>
    <w:rPr>
      <w:rFonts w:cs="Wingdings"/>
    </w:rPr>
  </w:style>
  <w:style w:type="character" w:styleId="ListLabel350">
    <w:name w:val="ListLabel 350"/>
    <w:qFormat/>
    <w:rPr>
      <w:rFonts w:cs="Symbol"/>
    </w:rPr>
  </w:style>
  <w:style w:type="character" w:styleId="ListLabel351">
    <w:name w:val="ListLabel 351"/>
    <w:qFormat/>
    <w:rPr>
      <w:rFonts w:cs="Courier New"/>
    </w:rPr>
  </w:style>
  <w:style w:type="character" w:styleId="ListLabel352">
    <w:name w:val="ListLabel 352"/>
    <w:qFormat/>
    <w:rPr>
      <w:rFonts w:cs="Wingdings"/>
    </w:rPr>
  </w:style>
  <w:style w:type="character" w:styleId="ListLabel353">
    <w:name w:val="ListLabel 353"/>
    <w:qFormat/>
    <w:rPr>
      <w:rFonts w:cs="Symbol"/>
    </w:rPr>
  </w:style>
  <w:style w:type="character" w:styleId="ListLabel354">
    <w:name w:val="ListLabel 354"/>
    <w:qFormat/>
    <w:rPr>
      <w:rFonts w:cs="Courier New"/>
    </w:rPr>
  </w:style>
  <w:style w:type="character" w:styleId="ListLabel355">
    <w:name w:val="ListLabel 355"/>
    <w:qFormat/>
    <w:rPr>
      <w:rFonts w:cs="Wingdings"/>
    </w:rPr>
  </w:style>
  <w:style w:type="character" w:styleId="ListLabel356">
    <w:name w:val="ListLabel 356"/>
    <w:qFormat/>
    <w:rPr>
      <w:rFonts w:ascii="Arial" w:hAnsi="Arial" w:cs="Symbol"/>
      <w:b/>
      <w:sz w:val="24"/>
    </w:rPr>
  </w:style>
  <w:style w:type="character" w:styleId="ListLabel357">
    <w:name w:val="ListLabel 357"/>
    <w:qFormat/>
    <w:rPr>
      <w:rFonts w:cs="Courier New"/>
    </w:rPr>
  </w:style>
  <w:style w:type="character" w:styleId="ListLabel358">
    <w:name w:val="ListLabel 358"/>
    <w:qFormat/>
    <w:rPr>
      <w:rFonts w:cs="Wingdings"/>
    </w:rPr>
  </w:style>
  <w:style w:type="character" w:styleId="ListLabel359">
    <w:name w:val="ListLabel 359"/>
    <w:qFormat/>
    <w:rPr>
      <w:rFonts w:cs="Symbol"/>
    </w:rPr>
  </w:style>
  <w:style w:type="character" w:styleId="ListLabel360">
    <w:name w:val="ListLabel 360"/>
    <w:qFormat/>
    <w:rPr>
      <w:rFonts w:cs="Courier New"/>
    </w:rPr>
  </w:style>
  <w:style w:type="character" w:styleId="ListLabel361">
    <w:name w:val="ListLabel 361"/>
    <w:qFormat/>
    <w:rPr>
      <w:rFonts w:cs="Wingdings"/>
    </w:rPr>
  </w:style>
  <w:style w:type="character" w:styleId="ListLabel362">
    <w:name w:val="ListLabel 362"/>
    <w:qFormat/>
    <w:rPr>
      <w:rFonts w:cs="Symbol"/>
    </w:rPr>
  </w:style>
  <w:style w:type="character" w:styleId="ListLabel363">
    <w:name w:val="ListLabel 363"/>
    <w:qFormat/>
    <w:rPr>
      <w:rFonts w:cs="Courier New"/>
    </w:rPr>
  </w:style>
  <w:style w:type="character" w:styleId="ListLabel364">
    <w:name w:val="ListLabel 364"/>
    <w:qFormat/>
    <w:rPr>
      <w:rFonts w:cs="Wingdings"/>
    </w:rPr>
  </w:style>
  <w:style w:type="character" w:styleId="ListLabel365">
    <w:name w:val="ListLabel 365"/>
    <w:qFormat/>
    <w:rPr>
      <w:rFonts w:ascii="Arial" w:hAnsi="Arial" w:cs="Symbol"/>
      <w:b/>
      <w:sz w:val="24"/>
    </w:rPr>
  </w:style>
  <w:style w:type="character" w:styleId="ListLabel366">
    <w:name w:val="ListLabel 366"/>
    <w:qFormat/>
    <w:rPr>
      <w:rFonts w:cs="Courier New"/>
    </w:rPr>
  </w:style>
  <w:style w:type="character" w:styleId="ListLabel367">
    <w:name w:val="ListLabel 367"/>
    <w:qFormat/>
    <w:rPr>
      <w:rFonts w:cs="Wingdings"/>
    </w:rPr>
  </w:style>
  <w:style w:type="character" w:styleId="ListLabel368">
    <w:name w:val="ListLabel 368"/>
    <w:qFormat/>
    <w:rPr>
      <w:rFonts w:cs="Symbol"/>
    </w:rPr>
  </w:style>
  <w:style w:type="character" w:styleId="ListLabel369">
    <w:name w:val="ListLabel 369"/>
    <w:qFormat/>
    <w:rPr>
      <w:rFonts w:cs="Courier New"/>
    </w:rPr>
  </w:style>
  <w:style w:type="character" w:styleId="ListLabel370">
    <w:name w:val="ListLabel 370"/>
    <w:qFormat/>
    <w:rPr>
      <w:rFonts w:cs="Wingdings"/>
    </w:rPr>
  </w:style>
  <w:style w:type="character" w:styleId="ListLabel371">
    <w:name w:val="ListLabel 371"/>
    <w:qFormat/>
    <w:rPr>
      <w:rFonts w:cs="Symbol"/>
    </w:rPr>
  </w:style>
  <w:style w:type="character" w:styleId="ListLabel372">
    <w:name w:val="ListLabel 372"/>
    <w:qFormat/>
    <w:rPr>
      <w:rFonts w:cs="Courier New"/>
    </w:rPr>
  </w:style>
  <w:style w:type="character" w:styleId="ListLabel373">
    <w:name w:val="ListLabel 373"/>
    <w:qFormat/>
    <w:rPr>
      <w:rFonts w:cs="Wingdings"/>
    </w:rPr>
  </w:style>
  <w:style w:type="character" w:styleId="ListLabel374">
    <w:name w:val="ListLabel 374"/>
    <w:qFormat/>
    <w:rPr>
      <w:rFonts w:ascii="Arial" w:hAnsi="Arial" w:eastAsia="SimSun" w:cs="Arial"/>
      <w:b/>
      <w:sz w:val="24"/>
    </w:rPr>
  </w:style>
  <w:style w:type="character" w:styleId="ListLabel375">
    <w:name w:val="ListLabel 375"/>
    <w:qFormat/>
    <w:rPr>
      <w:rFonts w:ascii="Arial" w:hAnsi="Arial" w:eastAsia="Times New Roman" w:cs="Arial"/>
      <w:sz w:val="24"/>
    </w:rPr>
  </w:style>
  <w:style w:type="character" w:styleId="ListLabel376">
    <w:name w:val="ListLabel 376"/>
    <w:qFormat/>
    <w:rPr>
      <w:rFonts w:ascii="Arial" w:hAnsi="Arial" w:eastAsia="Times New Roman" w:cs="Arial"/>
      <w:sz w:val="24"/>
    </w:rPr>
  </w:style>
  <w:style w:type="character" w:styleId="ListLabel377">
    <w:name w:val="ListLabel 377"/>
    <w:qFormat/>
    <w:rPr>
      <w:rFonts w:ascii="Arial" w:hAnsi="Arial" w:eastAsia="Times New Roman" w:cs="Arial"/>
      <w:sz w:val="24"/>
    </w:rPr>
  </w:style>
  <w:style w:type="character" w:styleId="ListLabel378">
    <w:name w:val="ListLabel 378"/>
    <w:qFormat/>
    <w:rPr>
      <w:rFonts w:ascii="Arial" w:hAnsi="Arial" w:cs="Symbol"/>
      <w:sz w:val="24"/>
    </w:rPr>
  </w:style>
  <w:style w:type="character" w:styleId="ListLabel379">
    <w:name w:val="ListLabel 379"/>
    <w:qFormat/>
    <w:rPr>
      <w:rFonts w:cs="Courier New"/>
    </w:rPr>
  </w:style>
  <w:style w:type="character" w:styleId="ListLabel380">
    <w:name w:val="ListLabel 380"/>
    <w:qFormat/>
    <w:rPr>
      <w:rFonts w:cs="Wingdings"/>
    </w:rPr>
  </w:style>
  <w:style w:type="character" w:styleId="ListLabel381">
    <w:name w:val="ListLabel 381"/>
    <w:qFormat/>
    <w:rPr>
      <w:rFonts w:cs="Symbol"/>
    </w:rPr>
  </w:style>
  <w:style w:type="character" w:styleId="ListLabel382">
    <w:name w:val="ListLabel 382"/>
    <w:qFormat/>
    <w:rPr>
      <w:rFonts w:cs="Courier New"/>
    </w:rPr>
  </w:style>
  <w:style w:type="character" w:styleId="ListLabel383">
    <w:name w:val="ListLabel 383"/>
    <w:qFormat/>
    <w:rPr>
      <w:rFonts w:cs="Wingdings"/>
    </w:rPr>
  </w:style>
  <w:style w:type="character" w:styleId="ListLabel384">
    <w:name w:val="ListLabel 384"/>
    <w:qFormat/>
    <w:rPr>
      <w:rFonts w:cs="Symbol"/>
    </w:rPr>
  </w:style>
  <w:style w:type="character" w:styleId="ListLabel385">
    <w:name w:val="ListLabel 385"/>
    <w:qFormat/>
    <w:rPr>
      <w:rFonts w:cs="Courier New"/>
    </w:rPr>
  </w:style>
  <w:style w:type="character" w:styleId="ListLabel386">
    <w:name w:val="ListLabel 386"/>
    <w:qFormat/>
    <w:rPr>
      <w:rFonts w:cs="Wingdings"/>
    </w:rPr>
  </w:style>
  <w:style w:type="character" w:styleId="ListLabel387">
    <w:name w:val="ListLabel 387"/>
    <w:qFormat/>
    <w:rPr>
      <w:rFonts w:ascii="Arial" w:hAnsi="Arial" w:eastAsia="Times New Roman" w:cs="Arial"/>
      <w:sz w:val="24"/>
    </w:rPr>
  </w:style>
  <w:style w:type="character" w:styleId="ListLabel388">
    <w:name w:val="ListLabel 388"/>
    <w:qFormat/>
    <w:rPr>
      <w:rFonts w:ascii="Arial" w:hAnsi="Arial" w:eastAsia="Times New Roman" w:cs="Arial"/>
      <w:sz w:val="24"/>
    </w:rPr>
  </w:style>
  <w:style w:type="character" w:styleId="ListLabel389">
    <w:name w:val="ListLabel 389"/>
    <w:qFormat/>
    <w:rPr>
      <w:rFonts w:ascii="Arial" w:hAnsi="Arial" w:eastAsia="Times New Roman" w:cs="Arial"/>
      <w:sz w:val="24"/>
    </w:rPr>
  </w:style>
  <w:style w:type="character" w:styleId="ListLabel390">
    <w:name w:val="ListLabel 390"/>
    <w:qFormat/>
    <w:rPr>
      <w:rFonts w:ascii="Arial" w:hAnsi="Arial" w:eastAsia="Times New Roman" w:cs="Arial"/>
      <w:sz w:val="24"/>
    </w:rPr>
  </w:style>
  <w:style w:type="character" w:styleId="ListLabel391">
    <w:name w:val="ListLabel 391"/>
    <w:qFormat/>
    <w:rPr>
      <w:rFonts w:ascii="Arial" w:hAnsi="Arial" w:cs="Arial"/>
      <w:sz w:val="24"/>
    </w:rPr>
  </w:style>
  <w:style w:type="character" w:styleId="ListLabel392">
    <w:name w:val="ListLabel 392"/>
    <w:qFormat/>
    <w:rPr>
      <w:rFonts w:ascii="Arial" w:hAnsi="Arial" w:eastAsia="Times New Roman" w:cs="Arial"/>
      <w:sz w:val="24"/>
    </w:rPr>
  </w:style>
  <w:style w:type="character" w:styleId="ListLabel393">
    <w:name w:val="ListLabel 393"/>
    <w:qFormat/>
    <w:rPr>
      <w:rFonts w:ascii="Arial" w:hAnsi="Arial" w:eastAsia="Times New Roman" w:cs="Arial"/>
      <w:sz w:val="24"/>
    </w:rPr>
  </w:style>
  <w:style w:type="character" w:styleId="ListLabel394">
    <w:name w:val="ListLabel 394"/>
    <w:qFormat/>
    <w:rPr>
      <w:rFonts w:ascii="Arial" w:hAnsi="Arial" w:eastAsia="Times New Roman" w:cs="Arial"/>
      <w:sz w:val="24"/>
    </w:rPr>
  </w:style>
  <w:style w:type="character" w:styleId="ListLabel395">
    <w:name w:val="ListLabel 395"/>
    <w:qFormat/>
    <w:rPr>
      <w:rFonts w:ascii="Arial" w:hAnsi="Arial" w:eastAsia="Times New Roman" w:cs="Arial"/>
      <w:sz w:val="24"/>
    </w:rPr>
  </w:style>
  <w:style w:type="character" w:styleId="ListLabel396">
    <w:name w:val="ListLabel 396"/>
    <w:qFormat/>
    <w:rPr>
      <w:rFonts w:ascii="Arial" w:hAnsi="Arial" w:eastAsia="Times New Roman" w:cs="Arial"/>
      <w:sz w:val="24"/>
    </w:rPr>
  </w:style>
  <w:style w:type="character" w:styleId="ListLabel397">
    <w:name w:val="ListLabel 397"/>
    <w:qFormat/>
    <w:rPr>
      <w:rFonts w:ascii="Arial" w:hAnsi="Arial" w:eastAsia="Times New Roman" w:cs="Arial"/>
      <w:sz w:val="24"/>
    </w:rPr>
  </w:style>
  <w:style w:type="character" w:styleId="ListLabel398">
    <w:name w:val="ListLabel 398"/>
    <w:qFormat/>
    <w:rPr>
      <w:rFonts w:ascii="Arial" w:hAnsi="Arial" w:cs="Symbol"/>
      <w:b/>
      <w:sz w:val="24"/>
    </w:rPr>
  </w:style>
  <w:style w:type="character" w:styleId="ListLabel399">
    <w:name w:val="ListLabel 399"/>
    <w:qFormat/>
    <w:rPr>
      <w:rFonts w:cs="Courier New"/>
    </w:rPr>
  </w:style>
  <w:style w:type="character" w:styleId="ListLabel400">
    <w:name w:val="ListLabel 400"/>
    <w:qFormat/>
    <w:rPr>
      <w:rFonts w:cs="Wingdings"/>
    </w:rPr>
  </w:style>
  <w:style w:type="character" w:styleId="ListLabel401">
    <w:name w:val="ListLabel 401"/>
    <w:qFormat/>
    <w:rPr>
      <w:rFonts w:cs="Symbol"/>
    </w:rPr>
  </w:style>
  <w:style w:type="character" w:styleId="ListLabel402">
    <w:name w:val="ListLabel 402"/>
    <w:qFormat/>
    <w:rPr>
      <w:rFonts w:cs="Courier New"/>
    </w:rPr>
  </w:style>
  <w:style w:type="character" w:styleId="ListLabel403">
    <w:name w:val="ListLabel 403"/>
    <w:qFormat/>
    <w:rPr>
      <w:rFonts w:cs="Wingdings"/>
    </w:rPr>
  </w:style>
  <w:style w:type="character" w:styleId="ListLabel404">
    <w:name w:val="ListLabel 404"/>
    <w:qFormat/>
    <w:rPr>
      <w:rFonts w:cs="Symbol"/>
    </w:rPr>
  </w:style>
  <w:style w:type="character" w:styleId="ListLabel405">
    <w:name w:val="ListLabel 405"/>
    <w:qFormat/>
    <w:rPr>
      <w:rFonts w:cs="Courier New"/>
    </w:rPr>
  </w:style>
  <w:style w:type="character" w:styleId="ListLabel406">
    <w:name w:val="ListLabel 406"/>
    <w:qFormat/>
    <w:rPr>
      <w:rFonts w:cs="Wingdings"/>
    </w:rPr>
  </w:style>
  <w:style w:type="character" w:styleId="ListLabel407">
    <w:name w:val="ListLabel 407"/>
    <w:qFormat/>
    <w:rPr>
      <w:rFonts w:ascii="Arial" w:hAnsi="Arial" w:cs="Symbol"/>
      <w:b w:val="false"/>
      <w:color w:val="000000"/>
      <w:sz w:val="24"/>
      <w:szCs w:val="24"/>
      <w:highlight w:val="white"/>
      <w:lang w:val="en-US" w:eastAsia="en-US" w:bidi="hi-IN"/>
    </w:rPr>
  </w:style>
  <w:style w:type="character" w:styleId="ListLabel408">
    <w:name w:val="ListLabel 408"/>
    <w:qFormat/>
    <w:rPr>
      <w:rFonts w:ascii="Arial" w:hAnsi="Arial" w:eastAsia="SimSun" w:cs="Arial"/>
      <w:sz w:val="24"/>
      <w:szCs w:val="24"/>
      <w:lang w:bidi="hi-IN"/>
    </w:rPr>
  </w:style>
  <w:style w:type="character" w:styleId="ListLabel409">
    <w:name w:val="ListLabel 409"/>
    <w:qFormat/>
    <w:rPr>
      <w:rFonts w:ascii="Arial" w:hAnsi="Arial" w:eastAsia="SimSun" w:cs="Arial"/>
      <w:sz w:val="24"/>
      <w:szCs w:val="24"/>
      <w:lang w:bidi="hi-IN"/>
    </w:rPr>
  </w:style>
  <w:style w:type="character" w:styleId="ListLabel410">
    <w:name w:val="ListLabel 410"/>
    <w:qFormat/>
    <w:rPr>
      <w:rFonts w:ascii="Arial" w:hAnsi="Arial" w:eastAsia="SimSun" w:cs="Arial"/>
      <w:sz w:val="24"/>
    </w:rPr>
  </w:style>
  <w:style w:type="character" w:styleId="ListLabel411">
    <w:name w:val="ListLabel 411"/>
    <w:qFormat/>
    <w:rPr>
      <w:rFonts w:ascii="Arial" w:hAnsi="Arial" w:eastAsia="Times New Roman" w:cs="Arial"/>
      <w:sz w:val="24"/>
    </w:rPr>
  </w:style>
  <w:style w:type="character" w:styleId="ListLabel412">
    <w:name w:val="ListLabel 412"/>
    <w:qFormat/>
    <w:rPr>
      <w:rFonts w:cs="Arial"/>
      <w:b/>
      <w:sz w:val="24"/>
    </w:rPr>
  </w:style>
  <w:style w:type="character" w:styleId="ListLabel413">
    <w:name w:val="ListLabel 413"/>
    <w:qFormat/>
    <w:rPr>
      <w:rFonts w:ascii="Arial" w:hAnsi="Arial" w:cs="Symbol"/>
      <w:sz w:val="24"/>
    </w:rPr>
  </w:style>
  <w:style w:type="character" w:styleId="ListLabel414">
    <w:name w:val="ListLabel 414"/>
    <w:qFormat/>
    <w:rPr>
      <w:rFonts w:cs="Courier New"/>
    </w:rPr>
  </w:style>
  <w:style w:type="character" w:styleId="ListLabel415">
    <w:name w:val="ListLabel 415"/>
    <w:qFormat/>
    <w:rPr>
      <w:rFonts w:cs="Wingdings"/>
    </w:rPr>
  </w:style>
  <w:style w:type="character" w:styleId="ListLabel416">
    <w:name w:val="ListLabel 416"/>
    <w:qFormat/>
    <w:rPr>
      <w:rFonts w:cs="Symbol"/>
    </w:rPr>
  </w:style>
  <w:style w:type="character" w:styleId="ListLabel417">
    <w:name w:val="ListLabel 417"/>
    <w:qFormat/>
    <w:rPr>
      <w:rFonts w:cs="Courier New"/>
    </w:rPr>
  </w:style>
  <w:style w:type="character" w:styleId="ListLabel418">
    <w:name w:val="ListLabel 418"/>
    <w:qFormat/>
    <w:rPr>
      <w:rFonts w:cs="Wingdings"/>
    </w:rPr>
  </w:style>
  <w:style w:type="character" w:styleId="ListLabel419">
    <w:name w:val="ListLabel 419"/>
    <w:qFormat/>
    <w:rPr>
      <w:rFonts w:cs="Symbol"/>
    </w:rPr>
  </w:style>
  <w:style w:type="character" w:styleId="ListLabel420">
    <w:name w:val="ListLabel 420"/>
    <w:qFormat/>
    <w:rPr>
      <w:rFonts w:cs="Courier New"/>
    </w:rPr>
  </w:style>
  <w:style w:type="character" w:styleId="ListLabel421">
    <w:name w:val="ListLabel 421"/>
    <w:qFormat/>
    <w:rPr>
      <w:rFonts w:cs="Wingdings"/>
    </w:rPr>
  </w:style>
  <w:style w:type="character" w:styleId="ListLabel422">
    <w:name w:val="ListLabel 422"/>
    <w:qFormat/>
    <w:rPr>
      <w:rFonts w:ascii="Arial" w:hAnsi="Arial" w:cs="Symbol"/>
      <w:sz w:val="24"/>
    </w:rPr>
  </w:style>
  <w:style w:type="character" w:styleId="ListLabel423">
    <w:name w:val="ListLabel 423"/>
    <w:qFormat/>
    <w:rPr>
      <w:rFonts w:cs="Courier New"/>
    </w:rPr>
  </w:style>
  <w:style w:type="character" w:styleId="ListLabel424">
    <w:name w:val="ListLabel 424"/>
    <w:qFormat/>
    <w:rPr>
      <w:rFonts w:cs="Wingdings"/>
    </w:rPr>
  </w:style>
  <w:style w:type="character" w:styleId="ListLabel425">
    <w:name w:val="ListLabel 425"/>
    <w:qFormat/>
    <w:rPr>
      <w:rFonts w:cs="Symbol"/>
    </w:rPr>
  </w:style>
  <w:style w:type="character" w:styleId="ListLabel426">
    <w:name w:val="ListLabel 426"/>
    <w:qFormat/>
    <w:rPr>
      <w:rFonts w:cs="Courier New"/>
    </w:rPr>
  </w:style>
  <w:style w:type="character" w:styleId="ListLabel427">
    <w:name w:val="ListLabel 427"/>
    <w:qFormat/>
    <w:rPr>
      <w:rFonts w:cs="Wingdings"/>
    </w:rPr>
  </w:style>
  <w:style w:type="character" w:styleId="ListLabel428">
    <w:name w:val="ListLabel 428"/>
    <w:qFormat/>
    <w:rPr>
      <w:rFonts w:cs="Symbol"/>
    </w:rPr>
  </w:style>
  <w:style w:type="character" w:styleId="ListLabel429">
    <w:name w:val="ListLabel 429"/>
    <w:qFormat/>
    <w:rPr>
      <w:rFonts w:cs="Courier New"/>
    </w:rPr>
  </w:style>
  <w:style w:type="character" w:styleId="ListLabel430">
    <w:name w:val="ListLabel 430"/>
    <w:qFormat/>
    <w:rPr>
      <w:rFonts w:cs="Wingdings"/>
    </w:rPr>
  </w:style>
  <w:style w:type="character" w:styleId="ListLabel431">
    <w:name w:val="ListLabel 431"/>
    <w:qFormat/>
    <w:rPr>
      <w:rFonts w:ascii="Arial" w:hAnsi="Arial" w:cs="Symbol"/>
      <w:sz w:val="24"/>
    </w:rPr>
  </w:style>
  <w:style w:type="character" w:styleId="ListLabel432">
    <w:name w:val="ListLabel 432"/>
    <w:qFormat/>
    <w:rPr>
      <w:rFonts w:cs="Courier New"/>
    </w:rPr>
  </w:style>
  <w:style w:type="character" w:styleId="ListLabel433">
    <w:name w:val="ListLabel 433"/>
    <w:qFormat/>
    <w:rPr>
      <w:rFonts w:cs="Wingdings"/>
    </w:rPr>
  </w:style>
  <w:style w:type="character" w:styleId="ListLabel434">
    <w:name w:val="ListLabel 434"/>
    <w:qFormat/>
    <w:rPr>
      <w:rFonts w:cs="Symbol"/>
    </w:rPr>
  </w:style>
  <w:style w:type="character" w:styleId="ListLabel435">
    <w:name w:val="ListLabel 435"/>
    <w:qFormat/>
    <w:rPr>
      <w:rFonts w:cs="Courier New"/>
    </w:rPr>
  </w:style>
  <w:style w:type="character" w:styleId="ListLabel436">
    <w:name w:val="ListLabel 436"/>
    <w:qFormat/>
    <w:rPr>
      <w:rFonts w:cs="Wingdings"/>
    </w:rPr>
  </w:style>
  <w:style w:type="character" w:styleId="ListLabel437">
    <w:name w:val="ListLabel 437"/>
    <w:qFormat/>
    <w:rPr>
      <w:rFonts w:cs="Symbol"/>
    </w:rPr>
  </w:style>
  <w:style w:type="character" w:styleId="ListLabel438">
    <w:name w:val="ListLabel 438"/>
    <w:qFormat/>
    <w:rPr>
      <w:rFonts w:cs="Courier New"/>
    </w:rPr>
  </w:style>
  <w:style w:type="character" w:styleId="ListLabel439">
    <w:name w:val="ListLabel 439"/>
    <w:qFormat/>
    <w:rPr>
      <w:rFonts w:cs="Wingdings"/>
    </w:rPr>
  </w:style>
  <w:style w:type="character" w:styleId="ListLabel440">
    <w:name w:val="ListLabel 440"/>
    <w:qFormat/>
    <w:rPr>
      <w:rFonts w:ascii="Arial" w:hAnsi="Arial" w:cs="Symbol"/>
      <w:sz w:val="24"/>
    </w:rPr>
  </w:style>
  <w:style w:type="character" w:styleId="ListLabel441">
    <w:name w:val="ListLabel 441"/>
    <w:qFormat/>
    <w:rPr>
      <w:rFonts w:cs="Courier New"/>
    </w:rPr>
  </w:style>
  <w:style w:type="character" w:styleId="ListLabel442">
    <w:name w:val="ListLabel 442"/>
    <w:qFormat/>
    <w:rPr>
      <w:rFonts w:cs="Wingdings"/>
    </w:rPr>
  </w:style>
  <w:style w:type="character" w:styleId="ListLabel443">
    <w:name w:val="ListLabel 443"/>
    <w:qFormat/>
    <w:rPr>
      <w:rFonts w:cs="Symbol"/>
    </w:rPr>
  </w:style>
  <w:style w:type="character" w:styleId="ListLabel444">
    <w:name w:val="ListLabel 444"/>
    <w:qFormat/>
    <w:rPr>
      <w:rFonts w:cs="Courier New"/>
    </w:rPr>
  </w:style>
  <w:style w:type="character" w:styleId="ListLabel445">
    <w:name w:val="ListLabel 445"/>
    <w:qFormat/>
    <w:rPr>
      <w:rFonts w:cs="Wingdings"/>
    </w:rPr>
  </w:style>
  <w:style w:type="character" w:styleId="ListLabel446">
    <w:name w:val="ListLabel 446"/>
    <w:qFormat/>
    <w:rPr>
      <w:rFonts w:cs="Symbol"/>
    </w:rPr>
  </w:style>
  <w:style w:type="character" w:styleId="ListLabel447">
    <w:name w:val="ListLabel 447"/>
    <w:qFormat/>
    <w:rPr>
      <w:rFonts w:cs="Courier New"/>
    </w:rPr>
  </w:style>
  <w:style w:type="character" w:styleId="ListLabel448">
    <w:name w:val="ListLabel 448"/>
    <w:qFormat/>
    <w:rPr>
      <w:rFonts w:cs="Wingdings"/>
    </w:rPr>
  </w:style>
  <w:style w:type="character" w:styleId="ListLabel449">
    <w:name w:val="ListLabel 449"/>
    <w:qFormat/>
    <w:rPr>
      <w:rFonts w:ascii="Arial" w:hAnsi="Arial" w:cs="Symbol"/>
      <w:sz w:val="24"/>
    </w:rPr>
  </w:style>
  <w:style w:type="character" w:styleId="ListLabel450">
    <w:name w:val="ListLabel 450"/>
    <w:qFormat/>
    <w:rPr>
      <w:rFonts w:cs="Courier New"/>
    </w:rPr>
  </w:style>
  <w:style w:type="character" w:styleId="ListLabel451">
    <w:name w:val="ListLabel 451"/>
    <w:qFormat/>
    <w:rPr>
      <w:rFonts w:cs="Wingdings"/>
    </w:rPr>
  </w:style>
  <w:style w:type="character" w:styleId="ListLabel452">
    <w:name w:val="ListLabel 452"/>
    <w:qFormat/>
    <w:rPr>
      <w:rFonts w:cs="Symbol"/>
    </w:rPr>
  </w:style>
  <w:style w:type="character" w:styleId="ListLabel453">
    <w:name w:val="ListLabel 453"/>
    <w:qFormat/>
    <w:rPr>
      <w:rFonts w:cs="Courier New"/>
    </w:rPr>
  </w:style>
  <w:style w:type="character" w:styleId="ListLabel454">
    <w:name w:val="ListLabel 454"/>
    <w:qFormat/>
    <w:rPr>
      <w:rFonts w:cs="Wingdings"/>
    </w:rPr>
  </w:style>
  <w:style w:type="character" w:styleId="ListLabel455">
    <w:name w:val="ListLabel 455"/>
    <w:qFormat/>
    <w:rPr>
      <w:rFonts w:cs="Symbol"/>
    </w:rPr>
  </w:style>
  <w:style w:type="character" w:styleId="ListLabel456">
    <w:name w:val="ListLabel 456"/>
    <w:qFormat/>
    <w:rPr>
      <w:rFonts w:cs="Courier New"/>
    </w:rPr>
  </w:style>
  <w:style w:type="character" w:styleId="ListLabel457">
    <w:name w:val="ListLabel 457"/>
    <w:qFormat/>
    <w:rPr>
      <w:rFonts w:cs="Wingdings"/>
    </w:rPr>
  </w:style>
  <w:style w:type="character" w:styleId="ListLabel458">
    <w:name w:val="ListLabel 458"/>
    <w:qFormat/>
    <w:rPr>
      <w:rFonts w:ascii="Arial" w:hAnsi="Arial" w:cs="Symbol"/>
      <w:sz w:val="24"/>
    </w:rPr>
  </w:style>
  <w:style w:type="character" w:styleId="ListLabel459">
    <w:name w:val="ListLabel 459"/>
    <w:qFormat/>
    <w:rPr>
      <w:rFonts w:ascii="Arial" w:hAnsi="Arial" w:cs="Courier New"/>
      <w:sz w:val="24"/>
    </w:rPr>
  </w:style>
  <w:style w:type="character" w:styleId="ListLabel460">
    <w:name w:val="ListLabel 460"/>
    <w:qFormat/>
    <w:rPr>
      <w:rFonts w:cs="Wingdings"/>
    </w:rPr>
  </w:style>
  <w:style w:type="character" w:styleId="ListLabel461">
    <w:name w:val="ListLabel 461"/>
    <w:qFormat/>
    <w:rPr>
      <w:rFonts w:cs="Symbol"/>
    </w:rPr>
  </w:style>
  <w:style w:type="character" w:styleId="ListLabel462">
    <w:name w:val="ListLabel 462"/>
    <w:qFormat/>
    <w:rPr>
      <w:rFonts w:cs="Courier New"/>
    </w:rPr>
  </w:style>
  <w:style w:type="character" w:styleId="ListLabel463">
    <w:name w:val="ListLabel 463"/>
    <w:qFormat/>
    <w:rPr>
      <w:rFonts w:cs="Wingdings"/>
    </w:rPr>
  </w:style>
  <w:style w:type="character" w:styleId="ListLabel464">
    <w:name w:val="ListLabel 464"/>
    <w:qFormat/>
    <w:rPr>
      <w:rFonts w:cs="Symbol"/>
    </w:rPr>
  </w:style>
  <w:style w:type="character" w:styleId="ListLabel465">
    <w:name w:val="ListLabel 465"/>
    <w:qFormat/>
    <w:rPr>
      <w:rFonts w:cs="Courier New"/>
    </w:rPr>
  </w:style>
  <w:style w:type="character" w:styleId="ListLabel466">
    <w:name w:val="ListLabel 466"/>
    <w:qFormat/>
    <w:rPr>
      <w:rFonts w:cs="Wingdings"/>
    </w:rPr>
  </w:style>
  <w:style w:type="character" w:styleId="ListLabel467">
    <w:name w:val="ListLabel 467"/>
    <w:qFormat/>
    <w:rPr>
      <w:rFonts w:ascii="Arial" w:hAnsi="Arial" w:cs="Symbol"/>
      <w:b/>
      <w:sz w:val="24"/>
    </w:rPr>
  </w:style>
  <w:style w:type="character" w:styleId="ListLabel468">
    <w:name w:val="ListLabel 468"/>
    <w:qFormat/>
    <w:rPr>
      <w:rFonts w:ascii="Arial" w:hAnsi="Arial" w:cs="Courier New"/>
      <w:sz w:val="24"/>
    </w:rPr>
  </w:style>
  <w:style w:type="character" w:styleId="ListLabel469">
    <w:name w:val="ListLabel 469"/>
    <w:qFormat/>
    <w:rPr>
      <w:rFonts w:cs="Wingdings"/>
    </w:rPr>
  </w:style>
  <w:style w:type="character" w:styleId="ListLabel470">
    <w:name w:val="ListLabel 470"/>
    <w:qFormat/>
    <w:rPr>
      <w:rFonts w:cs="Symbol"/>
    </w:rPr>
  </w:style>
  <w:style w:type="character" w:styleId="ListLabel471">
    <w:name w:val="ListLabel 471"/>
    <w:qFormat/>
    <w:rPr>
      <w:rFonts w:cs="Courier New"/>
    </w:rPr>
  </w:style>
  <w:style w:type="character" w:styleId="ListLabel472">
    <w:name w:val="ListLabel 472"/>
    <w:qFormat/>
    <w:rPr>
      <w:rFonts w:cs="Wingdings"/>
    </w:rPr>
  </w:style>
  <w:style w:type="character" w:styleId="ListLabel473">
    <w:name w:val="ListLabel 473"/>
    <w:qFormat/>
    <w:rPr>
      <w:rFonts w:cs="Symbol"/>
    </w:rPr>
  </w:style>
  <w:style w:type="character" w:styleId="ListLabel474">
    <w:name w:val="ListLabel 474"/>
    <w:qFormat/>
    <w:rPr>
      <w:rFonts w:cs="Courier New"/>
    </w:rPr>
  </w:style>
  <w:style w:type="character" w:styleId="ListLabel475">
    <w:name w:val="ListLabel 475"/>
    <w:qFormat/>
    <w:rPr>
      <w:rFonts w:cs="Wingdings"/>
    </w:rPr>
  </w:style>
  <w:style w:type="character" w:styleId="ListLabel476">
    <w:name w:val="ListLabel 476"/>
    <w:qFormat/>
    <w:rPr>
      <w:rFonts w:ascii="Arial" w:hAnsi="Arial" w:cs="Symbol"/>
      <w:sz w:val="24"/>
    </w:rPr>
  </w:style>
  <w:style w:type="character" w:styleId="ListLabel477">
    <w:name w:val="ListLabel 477"/>
    <w:qFormat/>
    <w:rPr>
      <w:rFonts w:cs="Courier New"/>
    </w:rPr>
  </w:style>
  <w:style w:type="character" w:styleId="ListLabel478">
    <w:name w:val="ListLabel 478"/>
    <w:qFormat/>
    <w:rPr>
      <w:rFonts w:cs="Wingdings"/>
    </w:rPr>
  </w:style>
  <w:style w:type="character" w:styleId="ListLabel479">
    <w:name w:val="ListLabel 479"/>
    <w:qFormat/>
    <w:rPr>
      <w:rFonts w:cs="Symbol"/>
    </w:rPr>
  </w:style>
  <w:style w:type="character" w:styleId="ListLabel480">
    <w:name w:val="ListLabel 480"/>
    <w:qFormat/>
    <w:rPr>
      <w:rFonts w:cs="Courier New"/>
    </w:rPr>
  </w:style>
  <w:style w:type="character" w:styleId="ListLabel481">
    <w:name w:val="ListLabel 481"/>
    <w:qFormat/>
    <w:rPr>
      <w:rFonts w:cs="Wingdings"/>
    </w:rPr>
  </w:style>
  <w:style w:type="character" w:styleId="ListLabel482">
    <w:name w:val="ListLabel 482"/>
    <w:qFormat/>
    <w:rPr>
      <w:rFonts w:cs="Symbol"/>
    </w:rPr>
  </w:style>
  <w:style w:type="character" w:styleId="ListLabel483">
    <w:name w:val="ListLabel 483"/>
    <w:qFormat/>
    <w:rPr>
      <w:rFonts w:cs="Courier New"/>
    </w:rPr>
  </w:style>
  <w:style w:type="character" w:styleId="ListLabel484">
    <w:name w:val="ListLabel 484"/>
    <w:qFormat/>
    <w:rPr>
      <w:rFonts w:cs="Wingdings"/>
    </w:rPr>
  </w:style>
  <w:style w:type="character" w:styleId="ListLabel485">
    <w:name w:val="ListLabel 485"/>
    <w:qFormat/>
    <w:rPr>
      <w:rFonts w:ascii="Arial" w:hAnsi="Arial" w:cs="Symbol"/>
      <w:sz w:val="24"/>
    </w:rPr>
  </w:style>
  <w:style w:type="character" w:styleId="ListLabel486">
    <w:name w:val="ListLabel 486"/>
    <w:qFormat/>
    <w:rPr>
      <w:rFonts w:cs="Courier New"/>
    </w:rPr>
  </w:style>
  <w:style w:type="character" w:styleId="ListLabel487">
    <w:name w:val="ListLabel 487"/>
    <w:qFormat/>
    <w:rPr>
      <w:rFonts w:cs="Wingdings"/>
    </w:rPr>
  </w:style>
  <w:style w:type="character" w:styleId="ListLabel488">
    <w:name w:val="ListLabel 488"/>
    <w:qFormat/>
    <w:rPr>
      <w:rFonts w:cs="Symbol"/>
    </w:rPr>
  </w:style>
  <w:style w:type="character" w:styleId="ListLabel489">
    <w:name w:val="ListLabel 489"/>
    <w:qFormat/>
    <w:rPr>
      <w:rFonts w:cs="Courier New"/>
    </w:rPr>
  </w:style>
  <w:style w:type="character" w:styleId="ListLabel490">
    <w:name w:val="ListLabel 490"/>
    <w:qFormat/>
    <w:rPr>
      <w:rFonts w:cs="Wingdings"/>
    </w:rPr>
  </w:style>
  <w:style w:type="character" w:styleId="ListLabel491">
    <w:name w:val="ListLabel 491"/>
    <w:qFormat/>
    <w:rPr>
      <w:rFonts w:cs="Symbol"/>
    </w:rPr>
  </w:style>
  <w:style w:type="character" w:styleId="ListLabel492">
    <w:name w:val="ListLabel 492"/>
    <w:qFormat/>
    <w:rPr>
      <w:rFonts w:cs="Courier New"/>
    </w:rPr>
  </w:style>
  <w:style w:type="character" w:styleId="ListLabel493">
    <w:name w:val="ListLabel 493"/>
    <w:qFormat/>
    <w:rPr>
      <w:rFonts w:cs="Wingdings"/>
    </w:rPr>
  </w:style>
  <w:style w:type="character" w:styleId="ListLabel494">
    <w:name w:val="ListLabel 494"/>
    <w:qFormat/>
    <w:rPr>
      <w:rFonts w:ascii="Arial" w:hAnsi="Arial" w:cs="Symbol"/>
      <w:sz w:val="24"/>
    </w:rPr>
  </w:style>
  <w:style w:type="character" w:styleId="ListLabel495">
    <w:name w:val="ListLabel 495"/>
    <w:qFormat/>
    <w:rPr>
      <w:rFonts w:cs="Courier New"/>
    </w:rPr>
  </w:style>
  <w:style w:type="character" w:styleId="ListLabel496">
    <w:name w:val="ListLabel 496"/>
    <w:qFormat/>
    <w:rPr>
      <w:rFonts w:cs="Wingdings"/>
    </w:rPr>
  </w:style>
  <w:style w:type="character" w:styleId="ListLabel497">
    <w:name w:val="ListLabel 497"/>
    <w:qFormat/>
    <w:rPr>
      <w:rFonts w:cs="Symbol"/>
    </w:rPr>
  </w:style>
  <w:style w:type="character" w:styleId="ListLabel498">
    <w:name w:val="ListLabel 498"/>
    <w:qFormat/>
    <w:rPr>
      <w:rFonts w:cs="Courier New"/>
    </w:rPr>
  </w:style>
  <w:style w:type="character" w:styleId="ListLabel499">
    <w:name w:val="ListLabel 499"/>
    <w:qFormat/>
    <w:rPr>
      <w:rFonts w:cs="Wingdings"/>
    </w:rPr>
  </w:style>
  <w:style w:type="character" w:styleId="ListLabel500">
    <w:name w:val="ListLabel 500"/>
    <w:qFormat/>
    <w:rPr>
      <w:rFonts w:cs="Symbol"/>
    </w:rPr>
  </w:style>
  <w:style w:type="character" w:styleId="ListLabel501">
    <w:name w:val="ListLabel 501"/>
    <w:qFormat/>
    <w:rPr>
      <w:rFonts w:cs="Courier New"/>
    </w:rPr>
  </w:style>
  <w:style w:type="character" w:styleId="ListLabel502">
    <w:name w:val="ListLabel 502"/>
    <w:qFormat/>
    <w:rPr>
      <w:rFonts w:cs="Wingdings"/>
    </w:rPr>
  </w:style>
  <w:style w:type="character" w:styleId="ListLabel503">
    <w:name w:val="ListLabel 503"/>
    <w:qFormat/>
    <w:rPr>
      <w:rFonts w:ascii="Arial" w:hAnsi="Arial" w:cs="Symbol"/>
      <w:b/>
      <w:sz w:val="24"/>
    </w:rPr>
  </w:style>
  <w:style w:type="character" w:styleId="ListLabel504">
    <w:name w:val="ListLabel 504"/>
    <w:qFormat/>
    <w:rPr>
      <w:rFonts w:cs="Courier New"/>
    </w:rPr>
  </w:style>
  <w:style w:type="character" w:styleId="ListLabel505">
    <w:name w:val="ListLabel 505"/>
    <w:qFormat/>
    <w:rPr>
      <w:rFonts w:cs="Wingdings"/>
    </w:rPr>
  </w:style>
  <w:style w:type="character" w:styleId="ListLabel506">
    <w:name w:val="ListLabel 506"/>
    <w:qFormat/>
    <w:rPr>
      <w:rFonts w:cs="Symbol"/>
    </w:rPr>
  </w:style>
  <w:style w:type="character" w:styleId="ListLabel507">
    <w:name w:val="ListLabel 507"/>
    <w:qFormat/>
    <w:rPr>
      <w:rFonts w:cs="Courier New"/>
    </w:rPr>
  </w:style>
  <w:style w:type="character" w:styleId="ListLabel508">
    <w:name w:val="ListLabel 508"/>
    <w:qFormat/>
    <w:rPr>
      <w:rFonts w:cs="Wingdings"/>
    </w:rPr>
  </w:style>
  <w:style w:type="character" w:styleId="ListLabel509">
    <w:name w:val="ListLabel 509"/>
    <w:qFormat/>
    <w:rPr>
      <w:rFonts w:cs="Symbol"/>
    </w:rPr>
  </w:style>
  <w:style w:type="character" w:styleId="ListLabel510">
    <w:name w:val="ListLabel 510"/>
    <w:qFormat/>
    <w:rPr>
      <w:rFonts w:cs="Courier New"/>
    </w:rPr>
  </w:style>
  <w:style w:type="character" w:styleId="ListLabel511">
    <w:name w:val="ListLabel 511"/>
    <w:qFormat/>
    <w:rPr>
      <w:rFonts w:cs="Wingdings"/>
    </w:rPr>
  </w:style>
  <w:style w:type="character" w:styleId="ListLabel512">
    <w:name w:val="ListLabel 512"/>
    <w:qFormat/>
    <w:rPr>
      <w:rFonts w:ascii="Arial" w:hAnsi="Arial" w:cs="Symbol"/>
      <w:sz w:val="24"/>
    </w:rPr>
  </w:style>
  <w:style w:type="character" w:styleId="ListLabel513">
    <w:name w:val="ListLabel 513"/>
    <w:qFormat/>
    <w:rPr>
      <w:rFonts w:cs="Courier New"/>
    </w:rPr>
  </w:style>
  <w:style w:type="character" w:styleId="ListLabel514">
    <w:name w:val="ListLabel 514"/>
    <w:qFormat/>
    <w:rPr>
      <w:rFonts w:cs="Wingdings"/>
    </w:rPr>
  </w:style>
  <w:style w:type="character" w:styleId="ListLabel515">
    <w:name w:val="ListLabel 515"/>
    <w:qFormat/>
    <w:rPr>
      <w:rFonts w:cs="Symbol"/>
    </w:rPr>
  </w:style>
  <w:style w:type="character" w:styleId="ListLabel516">
    <w:name w:val="ListLabel 516"/>
    <w:qFormat/>
    <w:rPr>
      <w:rFonts w:cs="Courier New"/>
    </w:rPr>
  </w:style>
  <w:style w:type="character" w:styleId="ListLabel517">
    <w:name w:val="ListLabel 517"/>
    <w:qFormat/>
    <w:rPr>
      <w:rFonts w:cs="Wingdings"/>
    </w:rPr>
  </w:style>
  <w:style w:type="character" w:styleId="ListLabel518">
    <w:name w:val="ListLabel 518"/>
    <w:qFormat/>
    <w:rPr>
      <w:rFonts w:cs="Symbol"/>
    </w:rPr>
  </w:style>
  <w:style w:type="character" w:styleId="ListLabel519">
    <w:name w:val="ListLabel 519"/>
    <w:qFormat/>
    <w:rPr>
      <w:rFonts w:cs="Courier New"/>
    </w:rPr>
  </w:style>
  <w:style w:type="character" w:styleId="ListLabel520">
    <w:name w:val="ListLabel 520"/>
    <w:qFormat/>
    <w:rPr>
      <w:rFonts w:cs="Wingdings"/>
    </w:rPr>
  </w:style>
  <w:style w:type="character" w:styleId="ListLabel521">
    <w:name w:val="ListLabel 521"/>
    <w:qFormat/>
    <w:rPr>
      <w:rFonts w:ascii="Arial" w:hAnsi="Arial" w:cs="Symbol"/>
      <w:sz w:val="24"/>
    </w:rPr>
  </w:style>
  <w:style w:type="character" w:styleId="ListLabel522">
    <w:name w:val="ListLabel 522"/>
    <w:qFormat/>
    <w:rPr>
      <w:rFonts w:cs="Courier New"/>
    </w:rPr>
  </w:style>
  <w:style w:type="character" w:styleId="ListLabel523">
    <w:name w:val="ListLabel 523"/>
    <w:qFormat/>
    <w:rPr>
      <w:rFonts w:cs="Wingdings"/>
    </w:rPr>
  </w:style>
  <w:style w:type="character" w:styleId="ListLabel524">
    <w:name w:val="ListLabel 524"/>
    <w:qFormat/>
    <w:rPr>
      <w:rFonts w:cs="Symbol"/>
    </w:rPr>
  </w:style>
  <w:style w:type="character" w:styleId="ListLabel525">
    <w:name w:val="ListLabel 525"/>
    <w:qFormat/>
    <w:rPr>
      <w:rFonts w:cs="Courier New"/>
    </w:rPr>
  </w:style>
  <w:style w:type="character" w:styleId="ListLabel526">
    <w:name w:val="ListLabel 526"/>
    <w:qFormat/>
    <w:rPr>
      <w:rFonts w:cs="Wingdings"/>
    </w:rPr>
  </w:style>
  <w:style w:type="character" w:styleId="ListLabel527">
    <w:name w:val="ListLabel 527"/>
    <w:qFormat/>
    <w:rPr>
      <w:rFonts w:cs="Symbol"/>
    </w:rPr>
  </w:style>
  <w:style w:type="character" w:styleId="ListLabel528">
    <w:name w:val="ListLabel 528"/>
    <w:qFormat/>
    <w:rPr>
      <w:rFonts w:cs="Courier New"/>
    </w:rPr>
  </w:style>
  <w:style w:type="character" w:styleId="ListLabel529">
    <w:name w:val="ListLabel 529"/>
    <w:qFormat/>
    <w:rPr>
      <w:rFonts w:cs="Wingdings"/>
    </w:rPr>
  </w:style>
  <w:style w:type="character" w:styleId="ListLabel530">
    <w:name w:val="ListLabel 530"/>
    <w:qFormat/>
    <w:rPr>
      <w:rFonts w:ascii="Arial" w:hAnsi="Arial" w:cs="Symbol"/>
      <w:sz w:val="24"/>
    </w:rPr>
  </w:style>
  <w:style w:type="character" w:styleId="ListLabel531">
    <w:name w:val="ListLabel 531"/>
    <w:qFormat/>
    <w:rPr>
      <w:rFonts w:cs="Courier New"/>
    </w:rPr>
  </w:style>
  <w:style w:type="character" w:styleId="ListLabel532">
    <w:name w:val="ListLabel 532"/>
    <w:qFormat/>
    <w:rPr>
      <w:rFonts w:cs="Wingdings"/>
    </w:rPr>
  </w:style>
  <w:style w:type="character" w:styleId="ListLabel533">
    <w:name w:val="ListLabel 533"/>
    <w:qFormat/>
    <w:rPr>
      <w:rFonts w:cs="Symbol"/>
    </w:rPr>
  </w:style>
  <w:style w:type="character" w:styleId="ListLabel534">
    <w:name w:val="ListLabel 534"/>
    <w:qFormat/>
    <w:rPr>
      <w:rFonts w:cs="Courier New"/>
    </w:rPr>
  </w:style>
  <w:style w:type="character" w:styleId="ListLabel535">
    <w:name w:val="ListLabel 535"/>
    <w:qFormat/>
    <w:rPr>
      <w:rFonts w:cs="Wingdings"/>
    </w:rPr>
  </w:style>
  <w:style w:type="character" w:styleId="ListLabel536">
    <w:name w:val="ListLabel 536"/>
    <w:qFormat/>
    <w:rPr>
      <w:rFonts w:cs="Symbol"/>
    </w:rPr>
  </w:style>
  <w:style w:type="character" w:styleId="ListLabel537">
    <w:name w:val="ListLabel 537"/>
    <w:qFormat/>
    <w:rPr>
      <w:rFonts w:cs="Courier New"/>
    </w:rPr>
  </w:style>
  <w:style w:type="character" w:styleId="ListLabel538">
    <w:name w:val="ListLabel 538"/>
    <w:qFormat/>
    <w:rPr>
      <w:rFonts w:cs="Wingdings"/>
    </w:rPr>
  </w:style>
  <w:style w:type="character" w:styleId="ListLabel539">
    <w:name w:val="ListLabel 539"/>
    <w:qFormat/>
    <w:rPr>
      <w:rFonts w:ascii="Arial" w:hAnsi="Arial" w:cs="Symbol"/>
      <w:b/>
      <w:sz w:val="24"/>
    </w:rPr>
  </w:style>
  <w:style w:type="character" w:styleId="ListLabel540">
    <w:name w:val="ListLabel 540"/>
    <w:qFormat/>
    <w:rPr>
      <w:rFonts w:ascii="Arial" w:hAnsi="Arial" w:cs="Courier New"/>
      <w:b/>
      <w:sz w:val="24"/>
    </w:rPr>
  </w:style>
  <w:style w:type="character" w:styleId="ListLabel541">
    <w:name w:val="ListLabel 541"/>
    <w:qFormat/>
    <w:rPr>
      <w:rFonts w:cs="Wingdings"/>
    </w:rPr>
  </w:style>
  <w:style w:type="character" w:styleId="ListLabel542">
    <w:name w:val="ListLabel 542"/>
    <w:qFormat/>
    <w:rPr>
      <w:rFonts w:ascii="Arial" w:hAnsi="Arial" w:cs="Symbol"/>
      <w:b/>
      <w:sz w:val="24"/>
    </w:rPr>
  </w:style>
  <w:style w:type="character" w:styleId="ListLabel543">
    <w:name w:val="ListLabel 543"/>
    <w:qFormat/>
    <w:rPr>
      <w:rFonts w:cs="Courier New"/>
    </w:rPr>
  </w:style>
  <w:style w:type="character" w:styleId="ListLabel544">
    <w:name w:val="ListLabel 544"/>
    <w:qFormat/>
    <w:rPr>
      <w:rFonts w:cs="Wingdings"/>
    </w:rPr>
  </w:style>
  <w:style w:type="character" w:styleId="ListLabel545">
    <w:name w:val="ListLabel 545"/>
    <w:qFormat/>
    <w:rPr>
      <w:rFonts w:cs="Symbol"/>
    </w:rPr>
  </w:style>
  <w:style w:type="character" w:styleId="ListLabel546">
    <w:name w:val="ListLabel 546"/>
    <w:qFormat/>
    <w:rPr>
      <w:rFonts w:cs="Courier New"/>
    </w:rPr>
  </w:style>
  <w:style w:type="character" w:styleId="ListLabel547">
    <w:name w:val="ListLabel 547"/>
    <w:qFormat/>
    <w:rPr>
      <w:rFonts w:cs="Wingdings"/>
    </w:rPr>
  </w:style>
  <w:style w:type="character" w:styleId="ListLabel548">
    <w:name w:val="ListLabel 548"/>
    <w:qFormat/>
    <w:rPr>
      <w:rFonts w:ascii="Arial" w:hAnsi="Arial" w:cs="Symbol"/>
      <w:b/>
      <w:sz w:val="24"/>
    </w:rPr>
  </w:style>
  <w:style w:type="character" w:styleId="ListLabel549">
    <w:name w:val="ListLabel 549"/>
    <w:qFormat/>
    <w:rPr>
      <w:rFonts w:ascii="Arial" w:hAnsi="Arial" w:cs="Courier New"/>
      <w:b/>
      <w:sz w:val="24"/>
    </w:rPr>
  </w:style>
  <w:style w:type="character" w:styleId="ListLabel550">
    <w:name w:val="ListLabel 550"/>
    <w:qFormat/>
    <w:rPr>
      <w:rFonts w:cs="Wingdings"/>
    </w:rPr>
  </w:style>
  <w:style w:type="character" w:styleId="ListLabel551">
    <w:name w:val="ListLabel 551"/>
    <w:qFormat/>
    <w:rPr>
      <w:rFonts w:cs="Symbol"/>
    </w:rPr>
  </w:style>
  <w:style w:type="character" w:styleId="ListLabel552">
    <w:name w:val="ListLabel 552"/>
    <w:qFormat/>
    <w:rPr>
      <w:rFonts w:cs="Courier New"/>
    </w:rPr>
  </w:style>
  <w:style w:type="character" w:styleId="ListLabel553">
    <w:name w:val="ListLabel 553"/>
    <w:qFormat/>
    <w:rPr>
      <w:rFonts w:cs="Wingdings"/>
    </w:rPr>
  </w:style>
  <w:style w:type="character" w:styleId="ListLabel554">
    <w:name w:val="ListLabel 554"/>
    <w:qFormat/>
    <w:rPr>
      <w:rFonts w:cs="Symbol"/>
    </w:rPr>
  </w:style>
  <w:style w:type="character" w:styleId="ListLabel555">
    <w:name w:val="ListLabel 555"/>
    <w:qFormat/>
    <w:rPr>
      <w:rFonts w:cs="Courier New"/>
    </w:rPr>
  </w:style>
  <w:style w:type="character" w:styleId="ListLabel556">
    <w:name w:val="ListLabel 556"/>
    <w:qFormat/>
    <w:rPr>
      <w:rFonts w:cs="Wingdings"/>
    </w:rPr>
  </w:style>
  <w:style w:type="character" w:styleId="ListLabel557">
    <w:name w:val="ListLabel 557"/>
    <w:qFormat/>
    <w:rPr>
      <w:rFonts w:ascii="Arial" w:hAnsi="Arial" w:cs="Symbol"/>
      <w:b/>
      <w:sz w:val="24"/>
    </w:rPr>
  </w:style>
  <w:style w:type="character" w:styleId="ListLabel558">
    <w:name w:val="ListLabel 558"/>
    <w:qFormat/>
    <w:rPr>
      <w:rFonts w:cs="Courier New"/>
    </w:rPr>
  </w:style>
  <w:style w:type="character" w:styleId="ListLabel559">
    <w:name w:val="ListLabel 559"/>
    <w:qFormat/>
    <w:rPr>
      <w:rFonts w:cs="Wingdings"/>
    </w:rPr>
  </w:style>
  <w:style w:type="character" w:styleId="ListLabel560">
    <w:name w:val="ListLabel 560"/>
    <w:qFormat/>
    <w:rPr>
      <w:rFonts w:cs="Symbol"/>
    </w:rPr>
  </w:style>
  <w:style w:type="character" w:styleId="ListLabel561">
    <w:name w:val="ListLabel 561"/>
    <w:qFormat/>
    <w:rPr>
      <w:rFonts w:cs="Courier New"/>
    </w:rPr>
  </w:style>
  <w:style w:type="character" w:styleId="ListLabel562">
    <w:name w:val="ListLabel 562"/>
    <w:qFormat/>
    <w:rPr>
      <w:rFonts w:cs="Wingdings"/>
    </w:rPr>
  </w:style>
  <w:style w:type="character" w:styleId="ListLabel563">
    <w:name w:val="ListLabel 563"/>
    <w:qFormat/>
    <w:rPr>
      <w:rFonts w:cs="Symbol"/>
    </w:rPr>
  </w:style>
  <w:style w:type="character" w:styleId="ListLabel564">
    <w:name w:val="ListLabel 564"/>
    <w:qFormat/>
    <w:rPr>
      <w:rFonts w:cs="Courier New"/>
    </w:rPr>
  </w:style>
  <w:style w:type="character" w:styleId="ListLabel565">
    <w:name w:val="ListLabel 565"/>
    <w:qFormat/>
    <w:rPr>
      <w:rFonts w:cs="Wingdings"/>
    </w:rPr>
  </w:style>
  <w:style w:type="character" w:styleId="ListLabel566">
    <w:name w:val="ListLabel 566"/>
    <w:qFormat/>
    <w:rPr>
      <w:rFonts w:ascii="Arial" w:hAnsi="Arial" w:cs="Symbol"/>
      <w:b/>
      <w:sz w:val="24"/>
    </w:rPr>
  </w:style>
  <w:style w:type="character" w:styleId="ListLabel567">
    <w:name w:val="ListLabel 567"/>
    <w:qFormat/>
    <w:rPr>
      <w:rFonts w:cs="Courier New"/>
    </w:rPr>
  </w:style>
  <w:style w:type="character" w:styleId="ListLabel568">
    <w:name w:val="ListLabel 568"/>
    <w:qFormat/>
    <w:rPr>
      <w:rFonts w:cs="Wingdings"/>
    </w:rPr>
  </w:style>
  <w:style w:type="character" w:styleId="ListLabel569">
    <w:name w:val="ListLabel 569"/>
    <w:qFormat/>
    <w:rPr>
      <w:rFonts w:cs="Symbol"/>
    </w:rPr>
  </w:style>
  <w:style w:type="character" w:styleId="ListLabel570">
    <w:name w:val="ListLabel 570"/>
    <w:qFormat/>
    <w:rPr>
      <w:rFonts w:cs="Courier New"/>
    </w:rPr>
  </w:style>
  <w:style w:type="character" w:styleId="ListLabel571">
    <w:name w:val="ListLabel 571"/>
    <w:qFormat/>
    <w:rPr>
      <w:rFonts w:cs="Wingdings"/>
    </w:rPr>
  </w:style>
  <w:style w:type="character" w:styleId="ListLabel572">
    <w:name w:val="ListLabel 572"/>
    <w:qFormat/>
    <w:rPr>
      <w:rFonts w:cs="Symbol"/>
    </w:rPr>
  </w:style>
  <w:style w:type="character" w:styleId="ListLabel573">
    <w:name w:val="ListLabel 573"/>
    <w:qFormat/>
    <w:rPr>
      <w:rFonts w:cs="Courier New"/>
    </w:rPr>
  </w:style>
  <w:style w:type="character" w:styleId="ListLabel574">
    <w:name w:val="ListLabel 574"/>
    <w:qFormat/>
    <w:rPr>
      <w:rFonts w:cs="Wingdings"/>
    </w:rPr>
  </w:style>
  <w:style w:type="character" w:styleId="ListLabel575">
    <w:name w:val="ListLabel 575"/>
    <w:qFormat/>
    <w:rPr>
      <w:rFonts w:ascii="Arial" w:hAnsi="Arial" w:cs="Symbol"/>
      <w:b/>
      <w:sz w:val="24"/>
    </w:rPr>
  </w:style>
  <w:style w:type="character" w:styleId="ListLabel576">
    <w:name w:val="ListLabel 576"/>
    <w:qFormat/>
    <w:rPr>
      <w:rFonts w:cs="Courier New"/>
    </w:rPr>
  </w:style>
  <w:style w:type="character" w:styleId="ListLabel577">
    <w:name w:val="ListLabel 577"/>
    <w:qFormat/>
    <w:rPr>
      <w:rFonts w:cs="Wingdings"/>
    </w:rPr>
  </w:style>
  <w:style w:type="character" w:styleId="ListLabel578">
    <w:name w:val="ListLabel 578"/>
    <w:qFormat/>
    <w:rPr>
      <w:rFonts w:cs="Symbol"/>
    </w:rPr>
  </w:style>
  <w:style w:type="character" w:styleId="ListLabel579">
    <w:name w:val="ListLabel 579"/>
    <w:qFormat/>
    <w:rPr>
      <w:rFonts w:cs="Courier New"/>
    </w:rPr>
  </w:style>
  <w:style w:type="character" w:styleId="ListLabel580">
    <w:name w:val="ListLabel 580"/>
    <w:qFormat/>
    <w:rPr>
      <w:rFonts w:cs="Wingdings"/>
    </w:rPr>
  </w:style>
  <w:style w:type="character" w:styleId="ListLabel581">
    <w:name w:val="ListLabel 581"/>
    <w:qFormat/>
    <w:rPr>
      <w:rFonts w:cs="Symbol"/>
    </w:rPr>
  </w:style>
  <w:style w:type="character" w:styleId="ListLabel582">
    <w:name w:val="ListLabel 582"/>
    <w:qFormat/>
    <w:rPr>
      <w:rFonts w:cs="Courier New"/>
    </w:rPr>
  </w:style>
  <w:style w:type="character" w:styleId="ListLabel583">
    <w:name w:val="ListLabel 583"/>
    <w:qFormat/>
    <w:rPr>
      <w:rFonts w:cs="Wingdings"/>
    </w:rPr>
  </w:style>
  <w:style w:type="character" w:styleId="ListLabel584">
    <w:name w:val="ListLabel 584"/>
    <w:qFormat/>
    <w:rPr>
      <w:rFonts w:ascii="Arial" w:hAnsi="Arial" w:eastAsia="SimSun" w:cs="Arial"/>
      <w:b/>
      <w:sz w:val="24"/>
    </w:rPr>
  </w:style>
  <w:style w:type="character" w:styleId="ListLabel585">
    <w:name w:val="ListLabel 585"/>
    <w:qFormat/>
    <w:rPr>
      <w:rFonts w:ascii="Arial" w:hAnsi="Arial" w:eastAsia="Times New Roman" w:cs="Arial"/>
      <w:sz w:val="24"/>
    </w:rPr>
  </w:style>
  <w:style w:type="character" w:styleId="ListLabel586">
    <w:name w:val="ListLabel 586"/>
    <w:qFormat/>
    <w:rPr>
      <w:rFonts w:ascii="Arial" w:hAnsi="Arial" w:eastAsia="Times New Roman" w:cs="Arial"/>
      <w:sz w:val="24"/>
    </w:rPr>
  </w:style>
  <w:style w:type="character" w:styleId="ListLabel587">
    <w:name w:val="ListLabel 587"/>
    <w:qFormat/>
    <w:rPr>
      <w:rFonts w:ascii="Arial" w:hAnsi="Arial" w:eastAsia="Times New Roman" w:cs="Arial"/>
      <w:sz w:val="24"/>
    </w:rPr>
  </w:style>
  <w:style w:type="character" w:styleId="ListLabel588">
    <w:name w:val="ListLabel 588"/>
    <w:qFormat/>
    <w:rPr>
      <w:rFonts w:ascii="Arial" w:hAnsi="Arial" w:cs="Symbol"/>
      <w:sz w:val="24"/>
    </w:rPr>
  </w:style>
  <w:style w:type="character" w:styleId="ListLabel589">
    <w:name w:val="ListLabel 589"/>
    <w:qFormat/>
    <w:rPr>
      <w:rFonts w:cs="Courier New"/>
    </w:rPr>
  </w:style>
  <w:style w:type="character" w:styleId="ListLabel590">
    <w:name w:val="ListLabel 590"/>
    <w:qFormat/>
    <w:rPr>
      <w:rFonts w:cs="Wingdings"/>
    </w:rPr>
  </w:style>
  <w:style w:type="character" w:styleId="ListLabel591">
    <w:name w:val="ListLabel 591"/>
    <w:qFormat/>
    <w:rPr>
      <w:rFonts w:cs="Symbol"/>
    </w:rPr>
  </w:style>
  <w:style w:type="character" w:styleId="ListLabel592">
    <w:name w:val="ListLabel 592"/>
    <w:qFormat/>
    <w:rPr>
      <w:rFonts w:cs="Courier New"/>
    </w:rPr>
  </w:style>
  <w:style w:type="character" w:styleId="ListLabel593">
    <w:name w:val="ListLabel 593"/>
    <w:qFormat/>
    <w:rPr>
      <w:rFonts w:cs="Wingdings"/>
    </w:rPr>
  </w:style>
  <w:style w:type="character" w:styleId="ListLabel594">
    <w:name w:val="ListLabel 594"/>
    <w:qFormat/>
    <w:rPr>
      <w:rFonts w:cs="Symbol"/>
    </w:rPr>
  </w:style>
  <w:style w:type="character" w:styleId="ListLabel595">
    <w:name w:val="ListLabel 595"/>
    <w:qFormat/>
    <w:rPr>
      <w:rFonts w:cs="Courier New"/>
    </w:rPr>
  </w:style>
  <w:style w:type="character" w:styleId="ListLabel596">
    <w:name w:val="ListLabel 596"/>
    <w:qFormat/>
    <w:rPr>
      <w:rFonts w:cs="Wingdings"/>
    </w:rPr>
  </w:style>
  <w:style w:type="character" w:styleId="ListLabel597">
    <w:name w:val="ListLabel 597"/>
    <w:qFormat/>
    <w:rPr>
      <w:rFonts w:ascii="Arial" w:hAnsi="Arial" w:eastAsia="Times New Roman" w:cs="Arial"/>
      <w:sz w:val="24"/>
    </w:rPr>
  </w:style>
  <w:style w:type="character" w:styleId="ListLabel598">
    <w:name w:val="ListLabel 598"/>
    <w:qFormat/>
    <w:rPr>
      <w:rFonts w:ascii="Arial" w:hAnsi="Arial" w:eastAsia="Times New Roman" w:cs="Arial"/>
      <w:sz w:val="24"/>
    </w:rPr>
  </w:style>
  <w:style w:type="character" w:styleId="ListLabel599">
    <w:name w:val="ListLabel 599"/>
    <w:qFormat/>
    <w:rPr>
      <w:rFonts w:ascii="Arial" w:hAnsi="Arial" w:eastAsia="Times New Roman" w:cs="Arial"/>
      <w:sz w:val="24"/>
    </w:rPr>
  </w:style>
  <w:style w:type="character" w:styleId="ListLabel600">
    <w:name w:val="ListLabel 600"/>
    <w:qFormat/>
    <w:rPr>
      <w:rFonts w:ascii="Arial" w:hAnsi="Arial" w:eastAsia="Times New Roman" w:cs="Arial"/>
      <w:sz w:val="24"/>
    </w:rPr>
  </w:style>
  <w:style w:type="character" w:styleId="ListLabel601">
    <w:name w:val="ListLabel 601"/>
    <w:qFormat/>
    <w:rPr>
      <w:rFonts w:ascii="Arial" w:hAnsi="Arial" w:cs="Arial"/>
      <w:sz w:val="24"/>
    </w:rPr>
  </w:style>
  <w:style w:type="character" w:styleId="ListLabel602">
    <w:name w:val="ListLabel 602"/>
    <w:qFormat/>
    <w:rPr>
      <w:rFonts w:ascii="Arial" w:hAnsi="Arial" w:eastAsia="Times New Roman" w:cs="Arial"/>
      <w:sz w:val="24"/>
    </w:rPr>
  </w:style>
  <w:style w:type="character" w:styleId="ListLabel603">
    <w:name w:val="ListLabel 603"/>
    <w:qFormat/>
    <w:rPr>
      <w:rFonts w:ascii="Arial" w:hAnsi="Arial" w:eastAsia="Times New Roman" w:cs="Arial"/>
      <w:sz w:val="24"/>
    </w:rPr>
  </w:style>
  <w:style w:type="character" w:styleId="ListLabel604">
    <w:name w:val="ListLabel 604"/>
    <w:qFormat/>
    <w:rPr>
      <w:rFonts w:ascii="Arial" w:hAnsi="Arial" w:eastAsia="Times New Roman" w:cs="Arial"/>
      <w:sz w:val="24"/>
    </w:rPr>
  </w:style>
  <w:style w:type="character" w:styleId="ListLabel605">
    <w:name w:val="ListLabel 605"/>
    <w:qFormat/>
    <w:rPr>
      <w:rFonts w:ascii="Arial" w:hAnsi="Arial" w:eastAsia="Times New Roman" w:cs="Arial"/>
      <w:sz w:val="24"/>
    </w:rPr>
  </w:style>
  <w:style w:type="character" w:styleId="ListLabel606">
    <w:name w:val="ListLabel 606"/>
    <w:qFormat/>
    <w:rPr>
      <w:rFonts w:ascii="Arial" w:hAnsi="Arial" w:eastAsia="Times New Roman" w:cs="Arial"/>
      <w:sz w:val="24"/>
    </w:rPr>
  </w:style>
  <w:style w:type="character" w:styleId="ListLabel607">
    <w:name w:val="ListLabel 607"/>
    <w:qFormat/>
    <w:rPr>
      <w:rFonts w:ascii="Arial" w:hAnsi="Arial" w:eastAsia="Times New Roman" w:cs="Arial"/>
      <w:sz w:val="24"/>
    </w:rPr>
  </w:style>
  <w:style w:type="character" w:styleId="ListLabel608">
    <w:name w:val="ListLabel 608"/>
    <w:qFormat/>
    <w:rPr>
      <w:rFonts w:ascii="Arial" w:hAnsi="Arial" w:cs="Symbol"/>
      <w:b/>
      <w:sz w:val="24"/>
    </w:rPr>
  </w:style>
  <w:style w:type="character" w:styleId="ListLabel609">
    <w:name w:val="ListLabel 609"/>
    <w:qFormat/>
    <w:rPr>
      <w:rFonts w:cs="Courier New"/>
    </w:rPr>
  </w:style>
  <w:style w:type="character" w:styleId="ListLabel610">
    <w:name w:val="ListLabel 610"/>
    <w:qFormat/>
    <w:rPr>
      <w:rFonts w:cs="Wingdings"/>
    </w:rPr>
  </w:style>
  <w:style w:type="character" w:styleId="ListLabel611">
    <w:name w:val="ListLabel 611"/>
    <w:qFormat/>
    <w:rPr>
      <w:rFonts w:cs="Symbol"/>
    </w:rPr>
  </w:style>
  <w:style w:type="character" w:styleId="ListLabel612">
    <w:name w:val="ListLabel 612"/>
    <w:qFormat/>
    <w:rPr>
      <w:rFonts w:cs="Courier New"/>
    </w:rPr>
  </w:style>
  <w:style w:type="character" w:styleId="ListLabel613">
    <w:name w:val="ListLabel 613"/>
    <w:qFormat/>
    <w:rPr>
      <w:rFonts w:cs="Wingdings"/>
    </w:rPr>
  </w:style>
  <w:style w:type="character" w:styleId="ListLabel614">
    <w:name w:val="ListLabel 614"/>
    <w:qFormat/>
    <w:rPr>
      <w:rFonts w:cs="Symbol"/>
    </w:rPr>
  </w:style>
  <w:style w:type="character" w:styleId="ListLabel615">
    <w:name w:val="ListLabel 615"/>
    <w:qFormat/>
    <w:rPr>
      <w:rFonts w:cs="Courier New"/>
    </w:rPr>
  </w:style>
  <w:style w:type="character" w:styleId="ListLabel616">
    <w:name w:val="ListLabel 616"/>
    <w:qFormat/>
    <w:rPr>
      <w:rFonts w:cs="Wingdings"/>
    </w:rPr>
  </w:style>
  <w:style w:type="character" w:styleId="ListLabel617">
    <w:name w:val="ListLabel 617"/>
    <w:qFormat/>
    <w:rPr>
      <w:rFonts w:ascii="Arial" w:hAnsi="Arial" w:cs="Symbol"/>
      <w:b w:val="false"/>
      <w:color w:val="000000"/>
      <w:sz w:val="24"/>
      <w:szCs w:val="24"/>
      <w:highlight w:val="white"/>
      <w:lang w:val="en-US" w:eastAsia="en-US" w:bidi="hi-IN"/>
    </w:rPr>
  </w:style>
  <w:style w:type="character" w:styleId="ListLabel618">
    <w:name w:val="ListLabel 618"/>
    <w:qFormat/>
    <w:rPr>
      <w:rFonts w:ascii="Arial" w:hAnsi="Arial" w:eastAsia="SimSun" w:cs="Arial"/>
      <w:sz w:val="24"/>
      <w:szCs w:val="24"/>
      <w:lang w:bidi="hi-IN"/>
    </w:rPr>
  </w:style>
  <w:style w:type="character" w:styleId="ListLabel619">
    <w:name w:val="ListLabel 619"/>
    <w:qFormat/>
    <w:rPr>
      <w:rFonts w:ascii="Arial" w:hAnsi="Arial" w:eastAsia="SimSun" w:cs="Arial"/>
      <w:sz w:val="24"/>
      <w:szCs w:val="24"/>
      <w:lang w:bidi="hi-IN"/>
    </w:rPr>
  </w:style>
  <w:style w:type="character" w:styleId="ListLabel620">
    <w:name w:val="ListLabel 620"/>
    <w:qFormat/>
    <w:rPr>
      <w:rFonts w:ascii="Arial" w:hAnsi="Arial" w:eastAsia="SimSun" w:cs="Arial"/>
      <w:sz w:val="24"/>
    </w:rPr>
  </w:style>
  <w:style w:type="character" w:styleId="ListLabel621">
    <w:name w:val="ListLabel 621"/>
    <w:qFormat/>
    <w:rPr>
      <w:rFonts w:ascii="Arial" w:hAnsi="Arial" w:eastAsia="Times New Roman" w:cs="Arial"/>
      <w:sz w:val="24"/>
    </w:rPr>
  </w:style>
  <w:style w:type="character" w:styleId="ListLabel622">
    <w:name w:val="ListLabel 622"/>
    <w:qFormat/>
    <w:rPr>
      <w:rFonts w:cs="Arial"/>
      <w:b/>
      <w:sz w:val="24"/>
    </w:rPr>
  </w:style>
  <w:style w:type="character" w:styleId="ListLabel623">
    <w:name w:val="ListLabel 623"/>
    <w:qFormat/>
    <w:rPr>
      <w:rFonts w:ascii="Arial" w:hAnsi="Arial" w:cs="Symbol"/>
      <w:sz w:val="24"/>
    </w:rPr>
  </w:style>
  <w:style w:type="character" w:styleId="ListLabel624">
    <w:name w:val="ListLabel 624"/>
    <w:qFormat/>
    <w:rPr>
      <w:rFonts w:cs="Courier New"/>
    </w:rPr>
  </w:style>
  <w:style w:type="character" w:styleId="ListLabel625">
    <w:name w:val="ListLabel 625"/>
    <w:qFormat/>
    <w:rPr>
      <w:rFonts w:cs="Wingdings"/>
    </w:rPr>
  </w:style>
  <w:style w:type="character" w:styleId="ListLabel626">
    <w:name w:val="ListLabel 626"/>
    <w:qFormat/>
    <w:rPr>
      <w:rFonts w:cs="Symbol"/>
    </w:rPr>
  </w:style>
  <w:style w:type="character" w:styleId="ListLabel627">
    <w:name w:val="ListLabel 627"/>
    <w:qFormat/>
    <w:rPr>
      <w:rFonts w:cs="Courier New"/>
    </w:rPr>
  </w:style>
  <w:style w:type="character" w:styleId="ListLabel628">
    <w:name w:val="ListLabel 628"/>
    <w:qFormat/>
    <w:rPr>
      <w:rFonts w:cs="Wingdings"/>
    </w:rPr>
  </w:style>
  <w:style w:type="character" w:styleId="ListLabel629">
    <w:name w:val="ListLabel 629"/>
    <w:qFormat/>
    <w:rPr>
      <w:rFonts w:cs="Symbol"/>
    </w:rPr>
  </w:style>
  <w:style w:type="character" w:styleId="ListLabel630">
    <w:name w:val="ListLabel 630"/>
    <w:qFormat/>
    <w:rPr>
      <w:rFonts w:cs="Courier New"/>
    </w:rPr>
  </w:style>
  <w:style w:type="character" w:styleId="ListLabel631">
    <w:name w:val="ListLabel 631"/>
    <w:qFormat/>
    <w:rPr>
      <w:rFonts w:cs="Wingdings"/>
    </w:rPr>
  </w:style>
  <w:style w:type="character" w:styleId="ListLabel632">
    <w:name w:val="ListLabel 632"/>
    <w:qFormat/>
    <w:rPr>
      <w:rFonts w:ascii="Arial" w:hAnsi="Arial" w:cs="Symbol"/>
      <w:sz w:val="24"/>
    </w:rPr>
  </w:style>
  <w:style w:type="character" w:styleId="ListLabel633">
    <w:name w:val="ListLabel 633"/>
    <w:qFormat/>
    <w:rPr>
      <w:rFonts w:cs="Courier New"/>
    </w:rPr>
  </w:style>
  <w:style w:type="character" w:styleId="ListLabel634">
    <w:name w:val="ListLabel 634"/>
    <w:qFormat/>
    <w:rPr>
      <w:rFonts w:cs="Wingdings"/>
    </w:rPr>
  </w:style>
  <w:style w:type="character" w:styleId="ListLabel635">
    <w:name w:val="ListLabel 635"/>
    <w:qFormat/>
    <w:rPr>
      <w:rFonts w:cs="Symbol"/>
    </w:rPr>
  </w:style>
  <w:style w:type="character" w:styleId="ListLabel636">
    <w:name w:val="ListLabel 636"/>
    <w:qFormat/>
    <w:rPr>
      <w:rFonts w:cs="Courier New"/>
    </w:rPr>
  </w:style>
  <w:style w:type="character" w:styleId="ListLabel637">
    <w:name w:val="ListLabel 637"/>
    <w:qFormat/>
    <w:rPr>
      <w:rFonts w:cs="Wingdings"/>
    </w:rPr>
  </w:style>
  <w:style w:type="character" w:styleId="ListLabel638">
    <w:name w:val="ListLabel 638"/>
    <w:qFormat/>
    <w:rPr>
      <w:rFonts w:cs="Symbol"/>
    </w:rPr>
  </w:style>
  <w:style w:type="character" w:styleId="ListLabel639">
    <w:name w:val="ListLabel 639"/>
    <w:qFormat/>
    <w:rPr>
      <w:rFonts w:cs="Courier New"/>
    </w:rPr>
  </w:style>
  <w:style w:type="character" w:styleId="ListLabel640">
    <w:name w:val="ListLabel 640"/>
    <w:qFormat/>
    <w:rPr>
      <w:rFonts w:cs="Wingdings"/>
    </w:rPr>
  </w:style>
  <w:style w:type="character" w:styleId="ListLabel641">
    <w:name w:val="ListLabel 641"/>
    <w:qFormat/>
    <w:rPr>
      <w:rFonts w:ascii="Arial" w:hAnsi="Arial" w:cs="Symbol"/>
      <w:sz w:val="24"/>
    </w:rPr>
  </w:style>
  <w:style w:type="character" w:styleId="ListLabel642">
    <w:name w:val="ListLabel 642"/>
    <w:qFormat/>
    <w:rPr>
      <w:rFonts w:cs="Courier New"/>
    </w:rPr>
  </w:style>
  <w:style w:type="character" w:styleId="ListLabel643">
    <w:name w:val="ListLabel 643"/>
    <w:qFormat/>
    <w:rPr>
      <w:rFonts w:cs="Wingdings"/>
    </w:rPr>
  </w:style>
  <w:style w:type="character" w:styleId="ListLabel644">
    <w:name w:val="ListLabel 644"/>
    <w:qFormat/>
    <w:rPr>
      <w:rFonts w:cs="Symbol"/>
    </w:rPr>
  </w:style>
  <w:style w:type="character" w:styleId="ListLabel645">
    <w:name w:val="ListLabel 645"/>
    <w:qFormat/>
    <w:rPr>
      <w:rFonts w:cs="Courier New"/>
    </w:rPr>
  </w:style>
  <w:style w:type="character" w:styleId="ListLabel646">
    <w:name w:val="ListLabel 646"/>
    <w:qFormat/>
    <w:rPr>
      <w:rFonts w:cs="Wingdings"/>
    </w:rPr>
  </w:style>
  <w:style w:type="character" w:styleId="ListLabel647">
    <w:name w:val="ListLabel 647"/>
    <w:qFormat/>
    <w:rPr>
      <w:rFonts w:cs="Symbol"/>
    </w:rPr>
  </w:style>
  <w:style w:type="character" w:styleId="ListLabel648">
    <w:name w:val="ListLabel 648"/>
    <w:qFormat/>
    <w:rPr>
      <w:rFonts w:cs="Courier New"/>
    </w:rPr>
  </w:style>
  <w:style w:type="character" w:styleId="ListLabel649">
    <w:name w:val="ListLabel 649"/>
    <w:qFormat/>
    <w:rPr>
      <w:rFonts w:cs="Wingdings"/>
    </w:rPr>
  </w:style>
  <w:style w:type="character" w:styleId="ListLabel650">
    <w:name w:val="ListLabel 650"/>
    <w:qFormat/>
    <w:rPr>
      <w:rFonts w:ascii="Arial" w:hAnsi="Arial" w:cs="Symbol"/>
      <w:sz w:val="24"/>
    </w:rPr>
  </w:style>
  <w:style w:type="character" w:styleId="ListLabel651">
    <w:name w:val="ListLabel 651"/>
    <w:qFormat/>
    <w:rPr>
      <w:rFonts w:cs="Courier New"/>
    </w:rPr>
  </w:style>
  <w:style w:type="character" w:styleId="ListLabel652">
    <w:name w:val="ListLabel 652"/>
    <w:qFormat/>
    <w:rPr>
      <w:rFonts w:cs="Wingdings"/>
    </w:rPr>
  </w:style>
  <w:style w:type="character" w:styleId="ListLabel653">
    <w:name w:val="ListLabel 653"/>
    <w:qFormat/>
    <w:rPr>
      <w:rFonts w:cs="Symbol"/>
    </w:rPr>
  </w:style>
  <w:style w:type="character" w:styleId="ListLabel654">
    <w:name w:val="ListLabel 654"/>
    <w:qFormat/>
    <w:rPr>
      <w:rFonts w:cs="Courier New"/>
    </w:rPr>
  </w:style>
  <w:style w:type="character" w:styleId="ListLabel655">
    <w:name w:val="ListLabel 655"/>
    <w:qFormat/>
    <w:rPr>
      <w:rFonts w:cs="Wingdings"/>
    </w:rPr>
  </w:style>
  <w:style w:type="character" w:styleId="ListLabel656">
    <w:name w:val="ListLabel 656"/>
    <w:qFormat/>
    <w:rPr>
      <w:rFonts w:cs="Symbol"/>
    </w:rPr>
  </w:style>
  <w:style w:type="character" w:styleId="ListLabel657">
    <w:name w:val="ListLabel 657"/>
    <w:qFormat/>
    <w:rPr>
      <w:rFonts w:cs="Courier New"/>
    </w:rPr>
  </w:style>
  <w:style w:type="character" w:styleId="ListLabel658">
    <w:name w:val="ListLabel 658"/>
    <w:qFormat/>
    <w:rPr>
      <w:rFonts w:cs="Wingdings"/>
    </w:rPr>
  </w:style>
  <w:style w:type="character" w:styleId="ListLabel659">
    <w:name w:val="ListLabel 659"/>
    <w:qFormat/>
    <w:rPr>
      <w:rFonts w:ascii="Arial" w:hAnsi="Arial" w:cs="Symbol"/>
      <w:sz w:val="24"/>
    </w:rPr>
  </w:style>
  <w:style w:type="character" w:styleId="ListLabel660">
    <w:name w:val="ListLabel 660"/>
    <w:qFormat/>
    <w:rPr>
      <w:rFonts w:cs="Courier New"/>
    </w:rPr>
  </w:style>
  <w:style w:type="character" w:styleId="ListLabel661">
    <w:name w:val="ListLabel 661"/>
    <w:qFormat/>
    <w:rPr>
      <w:rFonts w:cs="Wingdings"/>
    </w:rPr>
  </w:style>
  <w:style w:type="character" w:styleId="ListLabel662">
    <w:name w:val="ListLabel 662"/>
    <w:qFormat/>
    <w:rPr>
      <w:rFonts w:cs="Symbol"/>
    </w:rPr>
  </w:style>
  <w:style w:type="character" w:styleId="ListLabel663">
    <w:name w:val="ListLabel 663"/>
    <w:qFormat/>
    <w:rPr>
      <w:rFonts w:cs="Courier New"/>
    </w:rPr>
  </w:style>
  <w:style w:type="character" w:styleId="ListLabel664">
    <w:name w:val="ListLabel 664"/>
    <w:qFormat/>
    <w:rPr>
      <w:rFonts w:cs="Wingdings"/>
    </w:rPr>
  </w:style>
  <w:style w:type="character" w:styleId="ListLabel665">
    <w:name w:val="ListLabel 665"/>
    <w:qFormat/>
    <w:rPr>
      <w:rFonts w:cs="Symbol"/>
    </w:rPr>
  </w:style>
  <w:style w:type="character" w:styleId="ListLabel666">
    <w:name w:val="ListLabel 666"/>
    <w:qFormat/>
    <w:rPr>
      <w:rFonts w:cs="Courier New"/>
    </w:rPr>
  </w:style>
  <w:style w:type="character" w:styleId="ListLabel667">
    <w:name w:val="ListLabel 667"/>
    <w:qFormat/>
    <w:rPr>
      <w:rFonts w:cs="Wingdings"/>
    </w:rPr>
  </w:style>
  <w:style w:type="character" w:styleId="ListLabel668">
    <w:name w:val="ListLabel 668"/>
    <w:qFormat/>
    <w:rPr>
      <w:rFonts w:ascii="Arial" w:hAnsi="Arial" w:cs="Symbol"/>
      <w:sz w:val="24"/>
    </w:rPr>
  </w:style>
  <w:style w:type="character" w:styleId="ListLabel669">
    <w:name w:val="ListLabel 669"/>
    <w:qFormat/>
    <w:rPr>
      <w:rFonts w:ascii="Arial" w:hAnsi="Arial" w:cs="Courier New"/>
      <w:sz w:val="24"/>
    </w:rPr>
  </w:style>
  <w:style w:type="character" w:styleId="ListLabel670">
    <w:name w:val="ListLabel 670"/>
    <w:qFormat/>
    <w:rPr>
      <w:rFonts w:cs="Wingdings"/>
    </w:rPr>
  </w:style>
  <w:style w:type="character" w:styleId="ListLabel671">
    <w:name w:val="ListLabel 671"/>
    <w:qFormat/>
    <w:rPr>
      <w:rFonts w:cs="Symbol"/>
    </w:rPr>
  </w:style>
  <w:style w:type="character" w:styleId="ListLabel672">
    <w:name w:val="ListLabel 672"/>
    <w:qFormat/>
    <w:rPr>
      <w:rFonts w:cs="Courier New"/>
    </w:rPr>
  </w:style>
  <w:style w:type="character" w:styleId="ListLabel673">
    <w:name w:val="ListLabel 673"/>
    <w:qFormat/>
    <w:rPr>
      <w:rFonts w:cs="Wingdings"/>
    </w:rPr>
  </w:style>
  <w:style w:type="character" w:styleId="ListLabel674">
    <w:name w:val="ListLabel 674"/>
    <w:qFormat/>
    <w:rPr>
      <w:rFonts w:cs="Symbol"/>
    </w:rPr>
  </w:style>
  <w:style w:type="character" w:styleId="ListLabel675">
    <w:name w:val="ListLabel 675"/>
    <w:qFormat/>
    <w:rPr>
      <w:rFonts w:cs="Courier New"/>
    </w:rPr>
  </w:style>
  <w:style w:type="character" w:styleId="ListLabel676">
    <w:name w:val="ListLabel 676"/>
    <w:qFormat/>
    <w:rPr>
      <w:rFonts w:cs="Wingdings"/>
    </w:rPr>
  </w:style>
  <w:style w:type="character" w:styleId="ListLabel677">
    <w:name w:val="ListLabel 677"/>
    <w:qFormat/>
    <w:rPr>
      <w:rFonts w:ascii="Arial" w:hAnsi="Arial" w:cs="Symbol"/>
      <w:b/>
      <w:sz w:val="24"/>
    </w:rPr>
  </w:style>
  <w:style w:type="character" w:styleId="ListLabel678">
    <w:name w:val="ListLabel 678"/>
    <w:qFormat/>
    <w:rPr>
      <w:rFonts w:ascii="Arial" w:hAnsi="Arial" w:cs="Courier New"/>
      <w:sz w:val="24"/>
    </w:rPr>
  </w:style>
  <w:style w:type="character" w:styleId="ListLabel679">
    <w:name w:val="ListLabel 679"/>
    <w:qFormat/>
    <w:rPr>
      <w:rFonts w:cs="Wingdings"/>
    </w:rPr>
  </w:style>
  <w:style w:type="character" w:styleId="ListLabel680">
    <w:name w:val="ListLabel 680"/>
    <w:qFormat/>
    <w:rPr>
      <w:rFonts w:cs="Symbol"/>
    </w:rPr>
  </w:style>
  <w:style w:type="character" w:styleId="ListLabel681">
    <w:name w:val="ListLabel 681"/>
    <w:qFormat/>
    <w:rPr>
      <w:rFonts w:cs="Courier New"/>
    </w:rPr>
  </w:style>
  <w:style w:type="character" w:styleId="ListLabel682">
    <w:name w:val="ListLabel 682"/>
    <w:qFormat/>
    <w:rPr>
      <w:rFonts w:cs="Wingdings"/>
    </w:rPr>
  </w:style>
  <w:style w:type="character" w:styleId="ListLabel683">
    <w:name w:val="ListLabel 683"/>
    <w:qFormat/>
    <w:rPr>
      <w:rFonts w:cs="Symbol"/>
    </w:rPr>
  </w:style>
  <w:style w:type="character" w:styleId="ListLabel684">
    <w:name w:val="ListLabel 684"/>
    <w:qFormat/>
    <w:rPr>
      <w:rFonts w:cs="Courier New"/>
    </w:rPr>
  </w:style>
  <w:style w:type="character" w:styleId="ListLabel685">
    <w:name w:val="ListLabel 685"/>
    <w:qFormat/>
    <w:rPr>
      <w:rFonts w:cs="Wingdings"/>
    </w:rPr>
  </w:style>
  <w:style w:type="character" w:styleId="ListLabel686">
    <w:name w:val="ListLabel 686"/>
    <w:qFormat/>
    <w:rPr>
      <w:rFonts w:ascii="Arial" w:hAnsi="Arial" w:cs="Symbol"/>
      <w:sz w:val="24"/>
    </w:rPr>
  </w:style>
  <w:style w:type="character" w:styleId="ListLabel687">
    <w:name w:val="ListLabel 687"/>
    <w:qFormat/>
    <w:rPr>
      <w:rFonts w:cs="Courier New"/>
    </w:rPr>
  </w:style>
  <w:style w:type="character" w:styleId="ListLabel688">
    <w:name w:val="ListLabel 688"/>
    <w:qFormat/>
    <w:rPr>
      <w:rFonts w:cs="Wingdings"/>
    </w:rPr>
  </w:style>
  <w:style w:type="character" w:styleId="ListLabel689">
    <w:name w:val="ListLabel 689"/>
    <w:qFormat/>
    <w:rPr>
      <w:rFonts w:cs="Symbol"/>
    </w:rPr>
  </w:style>
  <w:style w:type="character" w:styleId="ListLabel690">
    <w:name w:val="ListLabel 690"/>
    <w:qFormat/>
    <w:rPr>
      <w:rFonts w:cs="Courier New"/>
    </w:rPr>
  </w:style>
  <w:style w:type="character" w:styleId="ListLabel691">
    <w:name w:val="ListLabel 691"/>
    <w:qFormat/>
    <w:rPr>
      <w:rFonts w:cs="Wingdings"/>
    </w:rPr>
  </w:style>
  <w:style w:type="character" w:styleId="ListLabel692">
    <w:name w:val="ListLabel 692"/>
    <w:qFormat/>
    <w:rPr>
      <w:rFonts w:cs="Symbol"/>
    </w:rPr>
  </w:style>
  <w:style w:type="character" w:styleId="ListLabel693">
    <w:name w:val="ListLabel 693"/>
    <w:qFormat/>
    <w:rPr>
      <w:rFonts w:cs="Courier New"/>
    </w:rPr>
  </w:style>
  <w:style w:type="character" w:styleId="ListLabel694">
    <w:name w:val="ListLabel 694"/>
    <w:qFormat/>
    <w:rPr>
      <w:rFonts w:cs="Wingdings"/>
    </w:rPr>
  </w:style>
  <w:style w:type="character" w:styleId="ListLabel695">
    <w:name w:val="ListLabel 695"/>
    <w:qFormat/>
    <w:rPr>
      <w:rFonts w:ascii="Arial" w:hAnsi="Arial" w:cs="Symbol"/>
      <w:sz w:val="24"/>
    </w:rPr>
  </w:style>
  <w:style w:type="character" w:styleId="ListLabel696">
    <w:name w:val="ListLabel 696"/>
    <w:qFormat/>
    <w:rPr>
      <w:rFonts w:cs="Courier New"/>
    </w:rPr>
  </w:style>
  <w:style w:type="character" w:styleId="ListLabel697">
    <w:name w:val="ListLabel 697"/>
    <w:qFormat/>
    <w:rPr>
      <w:rFonts w:cs="Wingdings"/>
    </w:rPr>
  </w:style>
  <w:style w:type="character" w:styleId="ListLabel698">
    <w:name w:val="ListLabel 698"/>
    <w:qFormat/>
    <w:rPr>
      <w:rFonts w:cs="Symbol"/>
    </w:rPr>
  </w:style>
  <w:style w:type="character" w:styleId="ListLabel699">
    <w:name w:val="ListLabel 699"/>
    <w:qFormat/>
    <w:rPr>
      <w:rFonts w:cs="Courier New"/>
    </w:rPr>
  </w:style>
  <w:style w:type="character" w:styleId="ListLabel700">
    <w:name w:val="ListLabel 700"/>
    <w:qFormat/>
    <w:rPr>
      <w:rFonts w:cs="Wingdings"/>
    </w:rPr>
  </w:style>
  <w:style w:type="character" w:styleId="ListLabel701">
    <w:name w:val="ListLabel 701"/>
    <w:qFormat/>
    <w:rPr>
      <w:rFonts w:cs="Symbol"/>
    </w:rPr>
  </w:style>
  <w:style w:type="character" w:styleId="ListLabel702">
    <w:name w:val="ListLabel 702"/>
    <w:qFormat/>
    <w:rPr>
      <w:rFonts w:cs="Courier New"/>
    </w:rPr>
  </w:style>
  <w:style w:type="character" w:styleId="ListLabel703">
    <w:name w:val="ListLabel 703"/>
    <w:qFormat/>
    <w:rPr>
      <w:rFonts w:cs="Wingdings"/>
    </w:rPr>
  </w:style>
  <w:style w:type="character" w:styleId="ListLabel704">
    <w:name w:val="ListLabel 704"/>
    <w:qFormat/>
    <w:rPr>
      <w:rFonts w:ascii="Arial" w:hAnsi="Arial" w:cs="Symbol"/>
      <w:sz w:val="24"/>
    </w:rPr>
  </w:style>
  <w:style w:type="character" w:styleId="ListLabel705">
    <w:name w:val="ListLabel 705"/>
    <w:qFormat/>
    <w:rPr>
      <w:rFonts w:cs="Courier New"/>
    </w:rPr>
  </w:style>
  <w:style w:type="character" w:styleId="ListLabel706">
    <w:name w:val="ListLabel 706"/>
    <w:qFormat/>
    <w:rPr>
      <w:rFonts w:cs="Wingdings"/>
    </w:rPr>
  </w:style>
  <w:style w:type="character" w:styleId="ListLabel707">
    <w:name w:val="ListLabel 707"/>
    <w:qFormat/>
    <w:rPr>
      <w:rFonts w:cs="Symbol"/>
    </w:rPr>
  </w:style>
  <w:style w:type="character" w:styleId="ListLabel708">
    <w:name w:val="ListLabel 708"/>
    <w:qFormat/>
    <w:rPr>
      <w:rFonts w:cs="Courier New"/>
    </w:rPr>
  </w:style>
  <w:style w:type="character" w:styleId="ListLabel709">
    <w:name w:val="ListLabel 709"/>
    <w:qFormat/>
    <w:rPr>
      <w:rFonts w:cs="Wingdings"/>
    </w:rPr>
  </w:style>
  <w:style w:type="character" w:styleId="ListLabel710">
    <w:name w:val="ListLabel 710"/>
    <w:qFormat/>
    <w:rPr>
      <w:rFonts w:cs="Symbol"/>
    </w:rPr>
  </w:style>
  <w:style w:type="character" w:styleId="ListLabel711">
    <w:name w:val="ListLabel 711"/>
    <w:qFormat/>
    <w:rPr>
      <w:rFonts w:cs="Courier New"/>
    </w:rPr>
  </w:style>
  <w:style w:type="character" w:styleId="ListLabel712">
    <w:name w:val="ListLabel 712"/>
    <w:qFormat/>
    <w:rPr>
      <w:rFonts w:cs="Wingdings"/>
    </w:rPr>
  </w:style>
  <w:style w:type="character" w:styleId="ListLabel713">
    <w:name w:val="ListLabel 713"/>
    <w:qFormat/>
    <w:rPr>
      <w:rFonts w:ascii="Arial" w:hAnsi="Arial" w:cs="Symbol"/>
      <w:b/>
      <w:sz w:val="24"/>
    </w:rPr>
  </w:style>
  <w:style w:type="character" w:styleId="ListLabel714">
    <w:name w:val="ListLabel 714"/>
    <w:qFormat/>
    <w:rPr>
      <w:rFonts w:cs="Courier New"/>
    </w:rPr>
  </w:style>
  <w:style w:type="character" w:styleId="ListLabel715">
    <w:name w:val="ListLabel 715"/>
    <w:qFormat/>
    <w:rPr>
      <w:rFonts w:cs="Wingdings"/>
    </w:rPr>
  </w:style>
  <w:style w:type="character" w:styleId="ListLabel716">
    <w:name w:val="ListLabel 716"/>
    <w:qFormat/>
    <w:rPr>
      <w:rFonts w:cs="Symbol"/>
    </w:rPr>
  </w:style>
  <w:style w:type="character" w:styleId="ListLabel717">
    <w:name w:val="ListLabel 717"/>
    <w:qFormat/>
    <w:rPr>
      <w:rFonts w:cs="Courier New"/>
    </w:rPr>
  </w:style>
  <w:style w:type="character" w:styleId="ListLabel718">
    <w:name w:val="ListLabel 718"/>
    <w:qFormat/>
    <w:rPr>
      <w:rFonts w:cs="Wingdings"/>
    </w:rPr>
  </w:style>
  <w:style w:type="character" w:styleId="ListLabel719">
    <w:name w:val="ListLabel 719"/>
    <w:qFormat/>
    <w:rPr>
      <w:rFonts w:cs="Symbol"/>
    </w:rPr>
  </w:style>
  <w:style w:type="character" w:styleId="ListLabel720">
    <w:name w:val="ListLabel 720"/>
    <w:qFormat/>
    <w:rPr>
      <w:rFonts w:cs="Courier New"/>
    </w:rPr>
  </w:style>
  <w:style w:type="character" w:styleId="ListLabel721">
    <w:name w:val="ListLabel 721"/>
    <w:qFormat/>
    <w:rPr>
      <w:rFonts w:cs="Wingdings"/>
    </w:rPr>
  </w:style>
  <w:style w:type="character" w:styleId="ListLabel722">
    <w:name w:val="ListLabel 722"/>
    <w:qFormat/>
    <w:rPr>
      <w:rFonts w:ascii="Arial" w:hAnsi="Arial" w:cs="Symbol"/>
      <w:sz w:val="24"/>
    </w:rPr>
  </w:style>
  <w:style w:type="character" w:styleId="ListLabel723">
    <w:name w:val="ListLabel 723"/>
    <w:qFormat/>
    <w:rPr>
      <w:rFonts w:cs="Courier New"/>
    </w:rPr>
  </w:style>
  <w:style w:type="character" w:styleId="ListLabel724">
    <w:name w:val="ListLabel 724"/>
    <w:qFormat/>
    <w:rPr>
      <w:rFonts w:cs="Wingdings"/>
    </w:rPr>
  </w:style>
  <w:style w:type="character" w:styleId="ListLabel725">
    <w:name w:val="ListLabel 725"/>
    <w:qFormat/>
    <w:rPr>
      <w:rFonts w:cs="Symbol"/>
    </w:rPr>
  </w:style>
  <w:style w:type="character" w:styleId="ListLabel726">
    <w:name w:val="ListLabel 726"/>
    <w:qFormat/>
    <w:rPr>
      <w:rFonts w:cs="Courier New"/>
    </w:rPr>
  </w:style>
  <w:style w:type="character" w:styleId="ListLabel727">
    <w:name w:val="ListLabel 727"/>
    <w:qFormat/>
    <w:rPr>
      <w:rFonts w:cs="Wingdings"/>
    </w:rPr>
  </w:style>
  <w:style w:type="character" w:styleId="ListLabel728">
    <w:name w:val="ListLabel 728"/>
    <w:qFormat/>
    <w:rPr>
      <w:rFonts w:cs="Symbol"/>
    </w:rPr>
  </w:style>
  <w:style w:type="character" w:styleId="ListLabel729">
    <w:name w:val="ListLabel 729"/>
    <w:qFormat/>
    <w:rPr>
      <w:rFonts w:cs="Courier New"/>
    </w:rPr>
  </w:style>
  <w:style w:type="character" w:styleId="ListLabel730">
    <w:name w:val="ListLabel 730"/>
    <w:qFormat/>
    <w:rPr>
      <w:rFonts w:cs="Wingdings"/>
    </w:rPr>
  </w:style>
  <w:style w:type="character" w:styleId="ListLabel731">
    <w:name w:val="ListLabel 731"/>
    <w:qFormat/>
    <w:rPr>
      <w:rFonts w:ascii="Arial" w:hAnsi="Arial" w:cs="Symbol"/>
      <w:sz w:val="24"/>
    </w:rPr>
  </w:style>
  <w:style w:type="character" w:styleId="ListLabel732">
    <w:name w:val="ListLabel 732"/>
    <w:qFormat/>
    <w:rPr>
      <w:rFonts w:cs="Courier New"/>
    </w:rPr>
  </w:style>
  <w:style w:type="character" w:styleId="ListLabel733">
    <w:name w:val="ListLabel 733"/>
    <w:qFormat/>
    <w:rPr>
      <w:rFonts w:cs="Wingdings"/>
    </w:rPr>
  </w:style>
  <w:style w:type="character" w:styleId="ListLabel734">
    <w:name w:val="ListLabel 734"/>
    <w:qFormat/>
    <w:rPr>
      <w:rFonts w:cs="Symbol"/>
    </w:rPr>
  </w:style>
  <w:style w:type="character" w:styleId="ListLabel735">
    <w:name w:val="ListLabel 735"/>
    <w:qFormat/>
    <w:rPr>
      <w:rFonts w:cs="Courier New"/>
    </w:rPr>
  </w:style>
  <w:style w:type="character" w:styleId="ListLabel736">
    <w:name w:val="ListLabel 736"/>
    <w:qFormat/>
    <w:rPr>
      <w:rFonts w:cs="Wingdings"/>
    </w:rPr>
  </w:style>
  <w:style w:type="character" w:styleId="ListLabel737">
    <w:name w:val="ListLabel 737"/>
    <w:qFormat/>
    <w:rPr>
      <w:rFonts w:cs="Symbol"/>
    </w:rPr>
  </w:style>
  <w:style w:type="character" w:styleId="ListLabel738">
    <w:name w:val="ListLabel 738"/>
    <w:qFormat/>
    <w:rPr>
      <w:rFonts w:cs="Courier New"/>
    </w:rPr>
  </w:style>
  <w:style w:type="character" w:styleId="ListLabel739">
    <w:name w:val="ListLabel 739"/>
    <w:qFormat/>
    <w:rPr>
      <w:rFonts w:cs="Wingdings"/>
    </w:rPr>
  </w:style>
  <w:style w:type="character" w:styleId="ListLabel740">
    <w:name w:val="ListLabel 740"/>
    <w:qFormat/>
    <w:rPr>
      <w:rFonts w:ascii="Arial" w:hAnsi="Arial" w:cs="Symbol"/>
      <w:sz w:val="24"/>
    </w:rPr>
  </w:style>
  <w:style w:type="character" w:styleId="ListLabel741">
    <w:name w:val="ListLabel 741"/>
    <w:qFormat/>
    <w:rPr>
      <w:rFonts w:cs="Courier New"/>
    </w:rPr>
  </w:style>
  <w:style w:type="character" w:styleId="ListLabel742">
    <w:name w:val="ListLabel 742"/>
    <w:qFormat/>
    <w:rPr>
      <w:rFonts w:cs="Wingdings"/>
    </w:rPr>
  </w:style>
  <w:style w:type="character" w:styleId="ListLabel743">
    <w:name w:val="ListLabel 743"/>
    <w:qFormat/>
    <w:rPr>
      <w:rFonts w:cs="Symbol"/>
    </w:rPr>
  </w:style>
  <w:style w:type="character" w:styleId="ListLabel744">
    <w:name w:val="ListLabel 744"/>
    <w:qFormat/>
    <w:rPr>
      <w:rFonts w:cs="Courier New"/>
    </w:rPr>
  </w:style>
  <w:style w:type="character" w:styleId="ListLabel745">
    <w:name w:val="ListLabel 745"/>
    <w:qFormat/>
    <w:rPr>
      <w:rFonts w:cs="Wingdings"/>
    </w:rPr>
  </w:style>
  <w:style w:type="character" w:styleId="ListLabel746">
    <w:name w:val="ListLabel 746"/>
    <w:qFormat/>
    <w:rPr>
      <w:rFonts w:cs="Symbol"/>
    </w:rPr>
  </w:style>
  <w:style w:type="character" w:styleId="ListLabel747">
    <w:name w:val="ListLabel 747"/>
    <w:qFormat/>
    <w:rPr>
      <w:rFonts w:cs="Courier New"/>
    </w:rPr>
  </w:style>
  <w:style w:type="character" w:styleId="ListLabel748">
    <w:name w:val="ListLabel 748"/>
    <w:qFormat/>
    <w:rPr>
      <w:rFonts w:cs="Wingdings"/>
    </w:rPr>
  </w:style>
  <w:style w:type="character" w:styleId="ListLabel749">
    <w:name w:val="ListLabel 749"/>
    <w:qFormat/>
    <w:rPr>
      <w:rFonts w:ascii="Arial" w:hAnsi="Arial" w:cs="Symbol"/>
      <w:b/>
      <w:sz w:val="24"/>
    </w:rPr>
  </w:style>
  <w:style w:type="character" w:styleId="ListLabel750">
    <w:name w:val="ListLabel 750"/>
    <w:qFormat/>
    <w:rPr>
      <w:rFonts w:ascii="Arial" w:hAnsi="Arial" w:cs="Courier New"/>
      <w:b/>
      <w:sz w:val="24"/>
    </w:rPr>
  </w:style>
  <w:style w:type="character" w:styleId="ListLabel751">
    <w:name w:val="ListLabel 751"/>
    <w:qFormat/>
    <w:rPr>
      <w:rFonts w:cs="Wingdings"/>
    </w:rPr>
  </w:style>
  <w:style w:type="character" w:styleId="ListLabel752">
    <w:name w:val="ListLabel 752"/>
    <w:qFormat/>
    <w:rPr>
      <w:rFonts w:ascii="Arial" w:hAnsi="Arial" w:cs="Symbol"/>
      <w:b/>
      <w:sz w:val="24"/>
    </w:rPr>
  </w:style>
  <w:style w:type="character" w:styleId="ListLabel753">
    <w:name w:val="ListLabel 753"/>
    <w:qFormat/>
    <w:rPr>
      <w:rFonts w:cs="Courier New"/>
    </w:rPr>
  </w:style>
  <w:style w:type="character" w:styleId="ListLabel754">
    <w:name w:val="ListLabel 754"/>
    <w:qFormat/>
    <w:rPr>
      <w:rFonts w:cs="Wingdings"/>
    </w:rPr>
  </w:style>
  <w:style w:type="character" w:styleId="ListLabel755">
    <w:name w:val="ListLabel 755"/>
    <w:qFormat/>
    <w:rPr>
      <w:rFonts w:cs="Symbol"/>
    </w:rPr>
  </w:style>
  <w:style w:type="character" w:styleId="ListLabel756">
    <w:name w:val="ListLabel 756"/>
    <w:qFormat/>
    <w:rPr>
      <w:rFonts w:cs="Courier New"/>
    </w:rPr>
  </w:style>
  <w:style w:type="character" w:styleId="ListLabel757">
    <w:name w:val="ListLabel 757"/>
    <w:qFormat/>
    <w:rPr>
      <w:rFonts w:cs="Wingdings"/>
    </w:rPr>
  </w:style>
  <w:style w:type="character" w:styleId="ListLabel758">
    <w:name w:val="ListLabel 758"/>
    <w:qFormat/>
    <w:rPr>
      <w:rFonts w:ascii="Arial" w:hAnsi="Arial" w:cs="Symbol"/>
      <w:b/>
      <w:sz w:val="24"/>
    </w:rPr>
  </w:style>
  <w:style w:type="character" w:styleId="ListLabel759">
    <w:name w:val="ListLabel 759"/>
    <w:qFormat/>
    <w:rPr>
      <w:rFonts w:ascii="Arial" w:hAnsi="Arial" w:cs="Courier New"/>
      <w:b/>
      <w:sz w:val="24"/>
    </w:rPr>
  </w:style>
  <w:style w:type="character" w:styleId="ListLabel760">
    <w:name w:val="ListLabel 760"/>
    <w:qFormat/>
    <w:rPr>
      <w:rFonts w:cs="Wingdings"/>
    </w:rPr>
  </w:style>
  <w:style w:type="character" w:styleId="ListLabel761">
    <w:name w:val="ListLabel 761"/>
    <w:qFormat/>
    <w:rPr>
      <w:rFonts w:cs="Symbol"/>
    </w:rPr>
  </w:style>
  <w:style w:type="character" w:styleId="ListLabel762">
    <w:name w:val="ListLabel 762"/>
    <w:qFormat/>
    <w:rPr>
      <w:rFonts w:cs="Courier New"/>
    </w:rPr>
  </w:style>
  <w:style w:type="character" w:styleId="ListLabel763">
    <w:name w:val="ListLabel 763"/>
    <w:qFormat/>
    <w:rPr>
      <w:rFonts w:cs="Wingdings"/>
    </w:rPr>
  </w:style>
  <w:style w:type="character" w:styleId="ListLabel764">
    <w:name w:val="ListLabel 764"/>
    <w:qFormat/>
    <w:rPr>
      <w:rFonts w:cs="Symbol"/>
    </w:rPr>
  </w:style>
  <w:style w:type="character" w:styleId="ListLabel765">
    <w:name w:val="ListLabel 765"/>
    <w:qFormat/>
    <w:rPr>
      <w:rFonts w:cs="Courier New"/>
    </w:rPr>
  </w:style>
  <w:style w:type="character" w:styleId="ListLabel766">
    <w:name w:val="ListLabel 766"/>
    <w:qFormat/>
    <w:rPr>
      <w:rFonts w:cs="Wingdings"/>
    </w:rPr>
  </w:style>
  <w:style w:type="character" w:styleId="ListLabel767">
    <w:name w:val="ListLabel 767"/>
    <w:qFormat/>
    <w:rPr>
      <w:rFonts w:ascii="Arial" w:hAnsi="Arial" w:cs="Symbol"/>
      <w:b/>
      <w:sz w:val="24"/>
    </w:rPr>
  </w:style>
  <w:style w:type="character" w:styleId="ListLabel768">
    <w:name w:val="ListLabel 768"/>
    <w:qFormat/>
    <w:rPr>
      <w:rFonts w:cs="Courier New"/>
    </w:rPr>
  </w:style>
  <w:style w:type="character" w:styleId="ListLabel769">
    <w:name w:val="ListLabel 769"/>
    <w:qFormat/>
    <w:rPr>
      <w:rFonts w:cs="Wingdings"/>
    </w:rPr>
  </w:style>
  <w:style w:type="character" w:styleId="ListLabel770">
    <w:name w:val="ListLabel 770"/>
    <w:qFormat/>
    <w:rPr>
      <w:rFonts w:cs="Symbol"/>
    </w:rPr>
  </w:style>
  <w:style w:type="character" w:styleId="ListLabel771">
    <w:name w:val="ListLabel 771"/>
    <w:qFormat/>
    <w:rPr>
      <w:rFonts w:cs="Courier New"/>
    </w:rPr>
  </w:style>
  <w:style w:type="character" w:styleId="ListLabel772">
    <w:name w:val="ListLabel 772"/>
    <w:qFormat/>
    <w:rPr>
      <w:rFonts w:cs="Wingdings"/>
    </w:rPr>
  </w:style>
  <w:style w:type="character" w:styleId="ListLabel773">
    <w:name w:val="ListLabel 773"/>
    <w:qFormat/>
    <w:rPr>
      <w:rFonts w:cs="Symbol"/>
    </w:rPr>
  </w:style>
  <w:style w:type="character" w:styleId="ListLabel774">
    <w:name w:val="ListLabel 774"/>
    <w:qFormat/>
    <w:rPr>
      <w:rFonts w:cs="Courier New"/>
    </w:rPr>
  </w:style>
  <w:style w:type="character" w:styleId="ListLabel775">
    <w:name w:val="ListLabel 775"/>
    <w:qFormat/>
    <w:rPr>
      <w:rFonts w:cs="Wingdings"/>
    </w:rPr>
  </w:style>
  <w:style w:type="character" w:styleId="ListLabel776">
    <w:name w:val="ListLabel 776"/>
    <w:qFormat/>
    <w:rPr>
      <w:rFonts w:ascii="Arial" w:hAnsi="Arial" w:cs="Symbol"/>
      <w:b/>
      <w:sz w:val="24"/>
    </w:rPr>
  </w:style>
  <w:style w:type="character" w:styleId="ListLabel777">
    <w:name w:val="ListLabel 777"/>
    <w:qFormat/>
    <w:rPr>
      <w:rFonts w:cs="Courier New"/>
    </w:rPr>
  </w:style>
  <w:style w:type="character" w:styleId="ListLabel778">
    <w:name w:val="ListLabel 778"/>
    <w:qFormat/>
    <w:rPr>
      <w:rFonts w:cs="Wingdings"/>
    </w:rPr>
  </w:style>
  <w:style w:type="character" w:styleId="ListLabel779">
    <w:name w:val="ListLabel 779"/>
    <w:qFormat/>
    <w:rPr>
      <w:rFonts w:cs="Symbol"/>
    </w:rPr>
  </w:style>
  <w:style w:type="character" w:styleId="ListLabel780">
    <w:name w:val="ListLabel 780"/>
    <w:qFormat/>
    <w:rPr>
      <w:rFonts w:cs="Courier New"/>
    </w:rPr>
  </w:style>
  <w:style w:type="character" w:styleId="ListLabel781">
    <w:name w:val="ListLabel 781"/>
    <w:qFormat/>
    <w:rPr>
      <w:rFonts w:cs="Wingdings"/>
    </w:rPr>
  </w:style>
  <w:style w:type="character" w:styleId="ListLabel782">
    <w:name w:val="ListLabel 782"/>
    <w:qFormat/>
    <w:rPr>
      <w:rFonts w:cs="Symbol"/>
    </w:rPr>
  </w:style>
  <w:style w:type="character" w:styleId="ListLabel783">
    <w:name w:val="ListLabel 783"/>
    <w:qFormat/>
    <w:rPr>
      <w:rFonts w:cs="Courier New"/>
    </w:rPr>
  </w:style>
  <w:style w:type="character" w:styleId="ListLabel784">
    <w:name w:val="ListLabel 784"/>
    <w:qFormat/>
    <w:rPr>
      <w:rFonts w:cs="Wingdings"/>
    </w:rPr>
  </w:style>
  <w:style w:type="character" w:styleId="ListLabel785">
    <w:name w:val="ListLabel 785"/>
    <w:qFormat/>
    <w:rPr>
      <w:rFonts w:ascii="Arial" w:hAnsi="Arial" w:cs="Symbol"/>
      <w:b/>
      <w:sz w:val="24"/>
    </w:rPr>
  </w:style>
  <w:style w:type="character" w:styleId="ListLabel786">
    <w:name w:val="ListLabel 786"/>
    <w:qFormat/>
    <w:rPr>
      <w:rFonts w:cs="Courier New"/>
    </w:rPr>
  </w:style>
  <w:style w:type="character" w:styleId="ListLabel787">
    <w:name w:val="ListLabel 787"/>
    <w:qFormat/>
    <w:rPr>
      <w:rFonts w:cs="Wingdings"/>
    </w:rPr>
  </w:style>
  <w:style w:type="character" w:styleId="ListLabel788">
    <w:name w:val="ListLabel 788"/>
    <w:qFormat/>
    <w:rPr>
      <w:rFonts w:cs="Symbol"/>
    </w:rPr>
  </w:style>
  <w:style w:type="character" w:styleId="ListLabel789">
    <w:name w:val="ListLabel 789"/>
    <w:qFormat/>
    <w:rPr>
      <w:rFonts w:cs="Courier New"/>
    </w:rPr>
  </w:style>
  <w:style w:type="character" w:styleId="ListLabel790">
    <w:name w:val="ListLabel 790"/>
    <w:qFormat/>
    <w:rPr>
      <w:rFonts w:cs="Wingdings"/>
    </w:rPr>
  </w:style>
  <w:style w:type="character" w:styleId="ListLabel791">
    <w:name w:val="ListLabel 791"/>
    <w:qFormat/>
    <w:rPr>
      <w:rFonts w:cs="Symbol"/>
    </w:rPr>
  </w:style>
  <w:style w:type="character" w:styleId="ListLabel792">
    <w:name w:val="ListLabel 792"/>
    <w:qFormat/>
    <w:rPr>
      <w:rFonts w:cs="Courier New"/>
    </w:rPr>
  </w:style>
  <w:style w:type="character" w:styleId="ListLabel793">
    <w:name w:val="ListLabel 793"/>
    <w:qFormat/>
    <w:rPr>
      <w:rFonts w:cs="Wingdings"/>
    </w:rPr>
  </w:style>
  <w:style w:type="character" w:styleId="ListLabel794">
    <w:name w:val="ListLabel 794"/>
    <w:qFormat/>
    <w:rPr>
      <w:rFonts w:ascii="Arial" w:hAnsi="Arial" w:eastAsia="SimSun" w:cs="Arial"/>
      <w:b/>
      <w:sz w:val="24"/>
    </w:rPr>
  </w:style>
  <w:style w:type="character" w:styleId="ListLabel795">
    <w:name w:val="ListLabel 795"/>
    <w:qFormat/>
    <w:rPr>
      <w:rFonts w:ascii="Arial" w:hAnsi="Arial" w:eastAsia="Times New Roman" w:cs="Arial"/>
      <w:sz w:val="24"/>
    </w:rPr>
  </w:style>
  <w:style w:type="character" w:styleId="ListLabel796">
    <w:name w:val="ListLabel 796"/>
    <w:qFormat/>
    <w:rPr>
      <w:rFonts w:ascii="Arial" w:hAnsi="Arial" w:eastAsia="Times New Roman" w:cs="Arial"/>
      <w:sz w:val="24"/>
    </w:rPr>
  </w:style>
  <w:style w:type="character" w:styleId="ListLabel797">
    <w:name w:val="ListLabel 797"/>
    <w:qFormat/>
    <w:rPr>
      <w:rFonts w:ascii="Arial" w:hAnsi="Arial" w:eastAsia="Times New Roman" w:cs="Arial"/>
      <w:sz w:val="24"/>
    </w:rPr>
  </w:style>
  <w:style w:type="character" w:styleId="ListLabel798">
    <w:name w:val="ListLabel 798"/>
    <w:qFormat/>
    <w:rPr>
      <w:rFonts w:ascii="Arial" w:hAnsi="Arial" w:cs="Symbol"/>
      <w:sz w:val="24"/>
    </w:rPr>
  </w:style>
  <w:style w:type="character" w:styleId="ListLabel799">
    <w:name w:val="ListLabel 799"/>
    <w:qFormat/>
    <w:rPr>
      <w:rFonts w:cs="Courier New"/>
    </w:rPr>
  </w:style>
  <w:style w:type="character" w:styleId="ListLabel800">
    <w:name w:val="ListLabel 800"/>
    <w:qFormat/>
    <w:rPr>
      <w:rFonts w:cs="Wingdings"/>
    </w:rPr>
  </w:style>
  <w:style w:type="character" w:styleId="ListLabel801">
    <w:name w:val="ListLabel 801"/>
    <w:qFormat/>
    <w:rPr>
      <w:rFonts w:cs="Symbol"/>
    </w:rPr>
  </w:style>
  <w:style w:type="character" w:styleId="ListLabel802">
    <w:name w:val="ListLabel 802"/>
    <w:qFormat/>
    <w:rPr>
      <w:rFonts w:cs="Courier New"/>
    </w:rPr>
  </w:style>
  <w:style w:type="character" w:styleId="ListLabel803">
    <w:name w:val="ListLabel 803"/>
    <w:qFormat/>
    <w:rPr>
      <w:rFonts w:cs="Wingdings"/>
    </w:rPr>
  </w:style>
  <w:style w:type="character" w:styleId="ListLabel804">
    <w:name w:val="ListLabel 804"/>
    <w:qFormat/>
    <w:rPr>
      <w:rFonts w:cs="Symbol"/>
    </w:rPr>
  </w:style>
  <w:style w:type="character" w:styleId="ListLabel805">
    <w:name w:val="ListLabel 805"/>
    <w:qFormat/>
    <w:rPr>
      <w:rFonts w:cs="Courier New"/>
    </w:rPr>
  </w:style>
  <w:style w:type="character" w:styleId="ListLabel806">
    <w:name w:val="ListLabel 806"/>
    <w:qFormat/>
    <w:rPr>
      <w:rFonts w:cs="Wingdings"/>
    </w:rPr>
  </w:style>
  <w:style w:type="character" w:styleId="ListLabel807">
    <w:name w:val="ListLabel 807"/>
    <w:qFormat/>
    <w:rPr>
      <w:rFonts w:ascii="Arial" w:hAnsi="Arial" w:eastAsia="Times New Roman" w:cs="Arial"/>
      <w:sz w:val="24"/>
    </w:rPr>
  </w:style>
  <w:style w:type="character" w:styleId="ListLabel808">
    <w:name w:val="ListLabel 808"/>
    <w:qFormat/>
    <w:rPr>
      <w:rFonts w:ascii="Arial" w:hAnsi="Arial" w:eastAsia="Times New Roman" w:cs="Arial"/>
      <w:sz w:val="24"/>
    </w:rPr>
  </w:style>
  <w:style w:type="character" w:styleId="ListLabel809">
    <w:name w:val="ListLabel 809"/>
    <w:qFormat/>
    <w:rPr>
      <w:rFonts w:ascii="Arial" w:hAnsi="Arial" w:eastAsia="Times New Roman" w:cs="Arial"/>
      <w:sz w:val="24"/>
    </w:rPr>
  </w:style>
  <w:style w:type="character" w:styleId="ListLabel810">
    <w:name w:val="ListLabel 810"/>
    <w:qFormat/>
    <w:rPr>
      <w:rFonts w:ascii="Arial" w:hAnsi="Arial" w:eastAsia="Times New Roman" w:cs="Arial"/>
      <w:sz w:val="24"/>
    </w:rPr>
  </w:style>
  <w:style w:type="character" w:styleId="ListLabel811">
    <w:name w:val="ListLabel 811"/>
    <w:qFormat/>
    <w:rPr>
      <w:rFonts w:ascii="Arial" w:hAnsi="Arial" w:cs="Arial"/>
      <w:sz w:val="24"/>
    </w:rPr>
  </w:style>
  <w:style w:type="character" w:styleId="ListLabel812">
    <w:name w:val="ListLabel 812"/>
    <w:qFormat/>
    <w:rPr>
      <w:rFonts w:ascii="Arial" w:hAnsi="Arial" w:eastAsia="Times New Roman" w:cs="Arial"/>
      <w:sz w:val="24"/>
    </w:rPr>
  </w:style>
  <w:style w:type="character" w:styleId="ListLabel813">
    <w:name w:val="ListLabel 813"/>
    <w:qFormat/>
    <w:rPr>
      <w:rFonts w:ascii="Arial" w:hAnsi="Arial" w:eastAsia="Times New Roman" w:cs="Arial"/>
      <w:sz w:val="24"/>
    </w:rPr>
  </w:style>
  <w:style w:type="character" w:styleId="ListLabel814">
    <w:name w:val="ListLabel 814"/>
    <w:qFormat/>
    <w:rPr>
      <w:rFonts w:ascii="Arial" w:hAnsi="Arial" w:eastAsia="Times New Roman" w:cs="Arial"/>
      <w:sz w:val="24"/>
    </w:rPr>
  </w:style>
  <w:style w:type="character" w:styleId="ListLabel815">
    <w:name w:val="ListLabel 815"/>
    <w:qFormat/>
    <w:rPr>
      <w:rFonts w:ascii="Arial" w:hAnsi="Arial" w:eastAsia="Times New Roman" w:cs="Arial"/>
      <w:sz w:val="24"/>
    </w:rPr>
  </w:style>
  <w:style w:type="character" w:styleId="ListLabel816">
    <w:name w:val="ListLabel 816"/>
    <w:qFormat/>
    <w:rPr>
      <w:rFonts w:ascii="Arial" w:hAnsi="Arial" w:eastAsia="Times New Roman" w:cs="Arial"/>
      <w:sz w:val="24"/>
    </w:rPr>
  </w:style>
  <w:style w:type="character" w:styleId="ListLabel817">
    <w:name w:val="ListLabel 817"/>
    <w:qFormat/>
    <w:rPr>
      <w:rFonts w:ascii="Arial" w:hAnsi="Arial" w:eastAsia="Times New Roman" w:cs="Arial"/>
      <w:sz w:val="24"/>
    </w:rPr>
  </w:style>
  <w:style w:type="character" w:styleId="ListLabel818">
    <w:name w:val="ListLabel 818"/>
    <w:qFormat/>
    <w:rPr>
      <w:rFonts w:ascii="Arial" w:hAnsi="Arial" w:cs="Symbol"/>
      <w:b/>
      <w:sz w:val="24"/>
    </w:rPr>
  </w:style>
  <w:style w:type="character" w:styleId="ListLabel819">
    <w:name w:val="ListLabel 819"/>
    <w:qFormat/>
    <w:rPr>
      <w:rFonts w:cs="Courier New"/>
    </w:rPr>
  </w:style>
  <w:style w:type="character" w:styleId="ListLabel820">
    <w:name w:val="ListLabel 820"/>
    <w:qFormat/>
    <w:rPr>
      <w:rFonts w:cs="Wingdings"/>
    </w:rPr>
  </w:style>
  <w:style w:type="character" w:styleId="ListLabel821">
    <w:name w:val="ListLabel 821"/>
    <w:qFormat/>
    <w:rPr>
      <w:rFonts w:cs="Symbol"/>
    </w:rPr>
  </w:style>
  <w:style w:type="character" w:styleId="ListLabel822">
    <w:name w:val="ListLabel 822"/>
    <w:qFormat/>
    <w:rPr>
      <w:rFonts w:cs="Courier New"/>
    </w:rPr>
  </w:style>
  <w:style w:type="character" w:styleId="ListLabel823">
    <w:name w:val="ListLabel 823"/>
    <w:qFormat/>
    <w:rPr>
      <w:rFonts w:cs="Wingdings"/>
    </w:rPr>
  </w:style>
  <w:style w:type="character" w:styleId="ListLabel824">
    <w:name w:val="ListLabel 824"/>
    <w:qFormat/>
    <w:rPr>
      <w:rFonts w:cs="Symbol"/>
    </w:rPr>
  </w:style>
  <w:style w:type="character" w:styleId="ListLabel825">
    <w:name w:val="ListLabel 825"/>
    <w:qFormat/>
    <w:rPr>
      <w:rFonts w:cs="Courier New"/>
    </w:rPr>
  </w:style>
  <w:style w:type="character" w:styleId="ListLabel826">
    <w:name w:val="ListLabel 826"/>
    <w:qFormat/>
    <w:rPr>
      <w:rFonts w:cs="Wingdings"/>
    </w:rPr>
  </w:style>
  <w:style w:type="character" w:styleId="ListLabel827">
    <w:name w:val="ListLabel 827"/>
    <w:qFormat/>
    <w:rPr>
      <w:rFonts w:ascii="Arial" w:hAnsi="Arial" w:cs="Symbol"/>
      <w:b w:val="false"/>
      <w:color w:val="000000"/>
      <w:sz w:val="24"/>
      <w:szCs w:val="24"/>
      <w:highlight w:val="white"/>
      <w:lang w:val="en-US" w:eastAsia="en-US" w:bidi="hi-IN"/>
    </w:rPr>
  </w:style>
  <w:style w:type="character" w:styleId="ListLabel828">
    <w:name w:val="ListLabel 828"/>
    <w:qFormat/>
    <w:rPr>
      <w:rFonts w:ascii="Arial" w:hAnsi="Arial" w:eastAsia="SimSun" w:cs="Arial"/>
      <w:sz w:val="24"/>
      <w:szCs w:val="24"/>
      <w:lang w:bidi="hi-IN"/>
    </w:rPr>
  </w:style>
  <w:style w:type="character" w:styleId="ListLabel829">
    <w:name w:val="ListLabel 829"/>
    <w:qFormat/>
    <w:rPr>
      <w:rFonts w:ascii="Arial" w:hAnsi="Arial" w:eastAsia="SimSun" w:cs="Arial"/>
      <w:sz w:val="24"/>
      <w:szCs w:val="24"/>
      <w:lang w:bidi="hi-IN"/>
    </w:rPr>
  </w:style>
  <w:style w:type="character" w:styleId="ListLabel830">
    <w:name w:val="ListLabel 830"/>
    <w:qFormat/>
    <w:rPr>
      <w:rFonts w:ascii="Arial" w:hAnsi="Arial" w:eastAsia="SimSun" w:cs="Arial"/>
      <w:sz w:val="24"/>
    </w:rPr>
  </w:style>
  <w:style w:type="character" w:styleId="ListLabel831">
    <w:name w:val="ListLabel 831"/>
    <w:qFormat/>
    <w:rPr>
      <w:rFonts w:ascii="Arial" w:hAnsi="Arial" w:eastAsia="Times New Roman" w:cs="Arial"/>
      <w:sz w:val="24"/>
    </w:rPr>
  </w:style>
  <w:style w:type="character" w:styleId="ListLabel832">
    <w:name w:val="ListLabel 832"/>
    <w:qFormat/>
    <w:rPr>
      <w:rFonts w:cs="Arial"/>
      <w:b/>
      <w:sz w:val="24"/>
    </w:rPr>
  </w:style>
  <w:style w:type="character" w:styleId="ListLabel833">
    <w:name w:val="ListLabel 833"/>
    <w:qFormat/>
    <w:rPr>
      <w:rFonts w:ascii="Arial" w:hAnsi="Arial" w:cs="Symbol"/>
      <w:sz w:val="24"/>
    </w:rPr>
  </w:style>
  <w:style w:type="character" w:styleId="ListLabel834">
    <w:name w:val="ListLabel 834"/>
    <w:qFormat/>
    <w:rPr>
      <w:rFonts w:cs="Courier New"/>
    </w:rPr>
  </w:style>
  <w:style w:type="character" w:styleId="ListLabel835">
    <w:name w:val="ListLabel 835"/>
    <w:qFormat/>
    <w:rPr>
      <w:rFonts w:cs="Wingdings"/>
    </w:rPr>
  </w:style>
  <w:style w:type="character" w:styleId="ListLabel836">
    <w:name w:val="ListLabel 836"/>
    <w:qFormat/>
    <w:rPr>
      <w:rFonts w:cs="Symbol"/>
    </w:rPr>
  </w:style>
  <w:style w:type="character" w:styleId="ListLabel837">
    <w:name w:val="ListLabel 837"/>
    <w:qFormat/>
    <w:rPr>
      <w:rFonts w:cs="Courier New"/>
    </w:rPr>
  </w:style>
  <w:style w:type="character" w:styleId="ListLabel838">
    <w:name w:val="ListLabel 838"/>
    <w:qFormat/>
    <w:rPr>
      <w:rFonts w:cs="Wingdings"/>
    </w:rPr>
  </w:style>
  <w:style w:type="character" w:styleId="ListLabel839">
    <w:name w:val="ListLabel 839"/>
    <w:qFormat/>
    <w:rPr>
      <w:rFonts w:cs="Symbol"/>
    </w:rPr>
  </w:style>
  <w:style w:type="character" w:styleId="ListLabel840">
    <w:name w:val="ListLabel 840"/>
    <w:qFormat/>
    <w:rPr>
      <w:rFonts w:cs="Courier New"/>
    </w:rPr>
  </w:style>
  <w:style w:type="character" w:styleId="ListLabel841">
    <w:name w:val="ListLabel 841"/>
    <w:qFormat/>
    <w:rPr>
      <w:rFonts w:cs="Wingdings"/>
    </w:rPr>
  </w:style>
  <w:style w:type="character" w:styleId="ListLabel842">
    <w:name w:val="ListLabel 842"/>
    <w:qFormat/>
    <w:rPr>
      <w:rFonts w:ascii="Arial" w:hAnsi="Arial" w:cs="Symbol"/>
      <w:sz w:val="24"/>
    </w:rPr>
  </w:style>
  <w:style w:type="character" w:styleId="ListLabel843">
    <w:name w:val="ListLabel 843"/>
    <w:qFormat/>
    <w:rPr>
      <w:rFonts w:cs="Courier New"/>
    </w:rPr>
  </w:style>
  <w:style w:type="character" w:styleId="ListLabel844">
    <w:name w:val="ListLabel 844"/>
    <w:qFormat/>
    <w:rPr>
      <w:rFonts w:cs="Wingdings"/>
    </w:rPr>
  </w:style>
  <w:style w:type="character" w:styleId="ListLabel845">
    <w:name w:val="ListLabel 845"/>
    <w:qFormat/>
    <w:rPr>
      <w:rFonts w:cs="Symbol"/>
    </w:rPr>
  </w:style>
  <w:style w:type="character" w:styleId="ListLabel846">
    <w:name w:val="ListLabel 846"/>
    <w:qFormat/>
    <w:rPr>
      <w:rFonts w:cs="Courier New"/>
    </w:rPr>
  </w:style>
  <w:style w:type="character" w:styleId="ListLabel847">
    <w:name w:val="ListLabel 847"/>
    <w:qFormat/>
    <w:rPr>
      <w:rFonts w:cs="Wingdings"/>
    </w:rPr>
  </w:style>
  <w:style w:type="character" w:styleId="ListLabel848">
    <w:name w:val="ListLabel 848"/>
    <w:qFormat/>
    <w:rPr>
      <w:rFonts w:cs="Symbol"/>
    </w:rPr>
  </w:style>
  <w:style w:type="character" w:styleId="ListLabel849">
    <w:name w:val="ListLabel 849"/>
    <w:qFormat/>
    <w:rPr>
      <w:rFonts w:cs="Courier New"/>
    </w:rPr>
  </w:style>
  <w:style w:type="character" w:styleId="ListLabel850">
    <w:name w:val="ListLabel 850"/>
    <w:qFormat/>
    <w:rPr>
      <w:rFonts w:cs="Wingdings"/>
    </w:rPr>
  </w:style>
  <w:style w:type="character" w:styleId="ListLabel851">
    <w:name w:val="ListLabel 851"/>
    <w:qFormat/>
    <w:rPr>
      <w:rFonts w:ascii="Arial" w:hAnsi="Arial" w:cs="Symbol"/>
      <w:sz w:val="24"/>
    </w:rPr>
  </w:style>
  <w:style w:type="character" w:styleId="ListLabel852">
    <w:name w:val="ListLabel 852"/>
    <w:qFormat/>
    <w:rPr>
      <w:rFonts w:cs="Courier New"/>
    </w:rPr>
  </w:style>
  <w:style w:type="character" w:styleId="ListLabel853">
    <w:name w:val="ListLabel 853"/>
    <w:qFormat/>
    <w:rPr>
      <w:rFonts w:cs="Wingdings"/>
    </w:rPr>
  </w:style>
  <w:style w:type="character" w:styleId="ListLabel854">
    <w:name w:val="ListLabel 854"/>
    <w:qFormat/>
    <w:rPr>
      <w:rFonts w:cs="Symbol"/>
    </w:rPr>
  </w:style>
  <w:style w:type="character" w:styleId="ListLabel855">
    <w:name w:val="ListLabel 855"/>
    <w:qFormat/>
    <w:rPr>
      <w:rFonts w:cs="Courier New"/>
    </w:rPr>
  </w:style>
  <w:style w:type="character" w:styleId="ListLabel856">
    <w:name w:val="ListLabel 856"/>
    <w:qFormat/>
    <w:rPr>
      <w:rFonts w:cs="Wingdings"/>
    </w:rPr>
  </w:style>
  <w:style w:type="character" w:styleId="ListLabel857">
    <w:name w:val="ListLabel 857"/>
    <w:qFormat/>
    <w:rPr>
      <w:rFonts w:cs="Symbol"/>
    </w:rPr>
  </w:style>
  <w:style w:type="character" w:styleId="ListLabel858">
    <w:name w:val="ListLabel 858"/>
    <w:qFormat/>
    <w:rPr>
      <w:rFonts w:cs="Courier New"/>
    </w:rPr>
  </w:style>
  <w:style w:type="character" w:styleId="ListLabel859">
    <w:name w:val="ListLabel 859"/>
    <w:qFormat/>
    <w:rPr>
      <w:rFonts w:cs="Wingdings"/>
    </w:rPr>
  </w:style>
  <w:style w:type="character" w:styleId="ListLabel860">
    <w:name w:val="ListLabel 860"/>
    <w:qFormat/>
    <w:rPr>
      <w:rFonts w:ascii="Arial" w:hAnsi="Arial" w:cs="Symbol"/>
      <w:sz w:val="24"/>
    </w:rPr>
  </w:style>
  <w:style w:type="character" w:styleId="ListLabel861">
    <w:name w:val="ListLabel 861"/>
    <w:qFormat/>
    <w:rPr>
      <w:rFonts w:cs="Courier New"/>
    </w:rPr>
  </w:style>
  <w:style w:type="character" w:styleId="ListLabel862">
    <w:name w:val="ListLabel 862"/>
    <w:qFormat/>
    <w:rPr>
      <w:rFonts w:cs="Wingdings"/>
    </w:rPr>
  </w:style>
  <w:style w:type="character" w:styleId="ListLabel863">
    <w:name w:val="ListLabel 863"/>
    <w:qFormat/>
    <w:rPr>
      <w:rFonts w:cs="Symbol"/>
    </w:rPr>
  </w:style>
  <w:style w:type="character" w:styleId="ListLabel864">
    <w:name w:val="ListLabel 864"/>
    <w:qFormat/>
    <w:rPr>
      <w:rFonts w:cs="Courier New"/>
    </w:rPr>
  </w:style>
  <w:style w:type="character" w:styleId="ListLabel865">
    <w:name w:val="ListLabel 865"/>
    <w:qFormat/>
    <w:rPr>
      <w:rFonts w:cs="Wingdings"/>
    </w:rPr>
  </w:style>
  <w:style w:type="character" w:styleId="ListLabel866">
    <w:name w:val="ListLabel 866"/>
    <w:qFormat/>
    <w:rPr>
      <w:rFonts w:cs="Symbol"/>
    </w:rPr>
  </w:style>
  <w:style w:type="character" w:styleId="ListLabel867">
    <w:name w:val="ListLabel 867"/>
    <w:qFormat/>
    <w:rPr>
      <w:rFonts w:cs="Courier New"/>
    </w:rPr>
  </w:style>
  <w:style w:type="character" w:styleId="ListLabel868">
    <w:name w:val="ListLabel 868"/>
    <w:qFormat/>
    <w:rPr>
      <w:rFonts w:cs="Wingdings"/>
    </w:rPr>
  </w:style>
  <w:style w:type="character" w:styleId="ListLabel869">
    <w:name w:val="ListLabel 869"/>
    <w:qFormat/>
    <w:rPr>
      <w:rFonts w:ascii="Arial" w:hAnsi="Arial" w:cs="Symbol"/>
      <w:sz w:val="24"/>
    </w:rPr>
  </w:style>
  <w:style w:type="character" w:styleId="ListLabel870">
    <w:name w:val="ListLabel 870"/>
    <w:qFormat/>
    <w:rPr>
      <w:rFonts w:cs="Courier New"/>
    </w:rPr>
  </w:style>
  <w:style w:type="character" w:styleId="ListLabel871">
    <w:name w:val="ListLabel 871"/>
    <w:qFormat/>
    <w:rPr>
      <w:rFonts w:cs="Wingdings"/>
    </w:rPr>
  </w:style>
  <w:style w:type="character" w:styleId="ListLabel872">
    <w:name w:val="ListLabel 872"/>
    <w:qFormat/>
    <w:rPr>
      <w:rFonts w:cs="Symbol"/>
    </w:rPr>
  </w:style>
  <w:style w:type="character" w:styleId="ListLabel873">
    <w:name w:val="ListLabel 873"/>
    <w:qFormat/>
    <w:rPr>
      <w:rFonts w:cs="Courier New"/>
    </w:rPr>
  </w:style>
  <w:style w:type="character" w:styleId="ListLabel874">
    <w:name w:val="ListLabel 874"/>
    <w:qFormat/>
    <w:rPr>
      <w:rFonts w:cs="Wingdings"/>
    </w:rPr>
  </w:style>
  <w:style w:type="character" w:styleId="ListLabel875">
    <w:name w:val="ListLabel 875"/>
    <w:qFormat/>
    <w:rPr>
      <w:rFonts w:cs="Symbol"/>
    </w:rPr>
  </w:style>
  <w:style w:type="character" w:styleId="ListLabel876">
    <w:name w:val="ListLabel 876"/>
    <w:qFormat/>
    <w:rPr>
      <w:rFonts w:cs="Courier New"/>
    </w:rPr>
  </w:style>
  <w:style w:type="character" w:styleId="ListLabel877">
    <w:name w:val="ListLabel 877"/>
    <w:qFormat/>
    <w:rPr>
      <w:rFonts w:cs="Wingdings"/>
    </w:rPr>
  </w:style>
  <w:style w:type="character" w:styleId="ListLabel878">
    <w:name w:val="ListLabel 878"/>
    <w:qFormat/>
    <w:rPr>
      <w:rFonts w:ascii="Arial" w:hAnsi="Arial" w:cs="Symbol"/>
      <w:sz w:val="24"/>
    </w:rPr>
  </w:style>
  <w:style w:type="character" w:styleId="ListLabel879">
    <w:name w:val="ListLabel 879"/>
    <w:qFormat/>
    <w:rPr>
      <w:rFonts w:ascii="Arial" w:hAnsi="Arial" w:cs="Courier New"/>
      <w:sz w:val="24"/>
    </w:rPr>
  </w:style>
  <w:style w:type="character" w:styleId="ListLabel880">
    <w:name w:val="ListLabel 880"/>
    <w:qFormat/>
    <w:rPr>
      <w:rFonts w:cs="Wingdings"/>
    </w:rPr>
  </w:style>
  <w:style w:type="character" w:styleId="ListLabel881">
    <w:name w:val="ListLabel 881"/>
    <w:qFormat/>
    <w:rPr>
      <w:rFonts w:cs="Symbol"/>
    </w:rPr>
  </w:style>
  <w:style w:type="character" w:styleId="ListLabel882">
    <w:name w:val="ListLabel 882"/>
    <w:qFormat/>
    <w:rPr>
      <w:rFonts w:cs="Courier New"/>
    </w:rPr>
  </w:style>
  <w:style w:type="character" w:styleId="ListLabel883">
    <w:name w:val="ListLabel 883"/>
    <w:qFormat/>
    <w:rPr>
      <w:rFonts w:cs="Wingdings"/>
    </w:rPr>
  </w:style>
  <w:style w:type="character" w:styleId="ListLabel884">
    <w:name w:val="ListLabel 884"/>
    <w:qFormat/>
    <w:rPr>
      <w:rFonts w:cs="Symbol"/>
    </w:rPr>
  </w:style>
  <w:style w:type="character" w:styleId="ListLabel885">
    <w:name w:val="ListLabel 885"/>
    <w:qFormat/>
    <w:rPr>
      <w:rFonts w:cs="Courier New"/>
    </w:rPr>
  </w:style>
  <w:style w:type="character" w:styleId="ListLabel886">
    <w:name w:val="ListLabel 886"/>
    <w:qFormat/>
    <w:rPr>
      <w:rFonts w:cs="Wingdings"/>
    </w:rPr>
  </w:style>
  <w:style w:type="character" w:styleId="ListLabel887">
    <w:name w:val="ListLabel 887"/>
    <w:qFormat/>
    <w:rPr>
      <w:rFonts w:ascii="Arial" w:hAnsi="Arial" w:cs="Symbol"/>
      <w:b/>
      <w:sz w:val="24"/>
    </w:rPr>
  </w:style>
  <w:style w:type="character" w:styleId="ListLabel888">
    <w:name w:val="ListLabel 888"/>
    <w:qFormat/>
    <w:rPr>
      <w:rFonts w:ascii="Arial" w:hAnsi="Arial" w:cs="Courier New"/>
      <w:sz w:val="24"/>
    </w:rPr>
  </w:style>
  <w:style w:type="character" w:styleId="ListLabel889">
    <w:name w:val="ListLabel 889"/>
    <w:qFormat/>
    <w:rPr>
      <w:rFonts w:cs="Wingdings"/>
    </w:rPr>
  </w:style>
  <w:style w:type="character" w:styleId="ListLabel890">
    <w:name w:val="ListLabel 890"/>
    <w:qFormat/>
    <w:rPr>
      <w:rFonts w:cs="Symbol"/>
    </w:rPr>
  </w:style>
  <w:style w:type="character" w:styleId="ListLabel891">
    <w:name w:val="ListLabel 891"/>
    <w:qFormat/>
    <w:rPr>
      <w:rFonts w:cs="Courier New"/>
    </w:rPr>
  </w:style>
  <w:style w:type="character" w:styleId="ListLabel892">
    <w:name w:val="ListLabel 892"/>
    <w:qFormat/>
    <w:rPr>
      <w:rFonts w:cs="Wingdings"/>
    </w:rPr>
  </w:style>
  <w:style w:type="character" w:styleId="ListLabel893">
    <w:name w:val="ListLabel 893"/>
    <w:qFormat/>
    <w:rPr>
      <w:rFonts w:cs="Symbol"/>
    </w:rPr>
  </w:style>
  <w:style w:type="character" w:styleId="ListLabel894">
    <w:name w:val="ListLabel 894"/>
    <w:qFormat/>
    <w:rPr>
      <w:rFonts w:cs="Courier New"/>
    </w:rPr>
  </w:style>
  <w:style w:type="character" w:styleId="ListLabel895">
    <w:name w:val="ListLabel 895"/>
    <w:qFormat/>
    <w:rPr>
      <w:rFonts w:cs="Wingdings"/>
    </w:rPr>
  </w:style>
  <w:style w:type="character" w:styleId="ListLabel896">
    <w:name w:val="ListLabel 896"/>
    <w:qFormat/>
    <w:rPr>
      <w:rFonts w:ascii="Arial" w:hAnsi="Arial" w:cs="Symbol"/>
      <w:sz w:val="24"/>
    </w:rPr>
  </w:style>
  <w:style w:type="character" w:styleId="ListLabel897">
    <w:name w:val="ListLabel 897"/>
    <w:qFormat/>
    <w:rPr>
      <w:rFonts w:cs="Courier New"/>
    </w:rPr>
  </w:style>
  <w:style w:type="character" w:styleId="ListLabel898">
    <w:name w:val="ListLabel 898"/>
    <w:qFormat/>
    <w:rPr>
      <w:rFonts w:cs="Wingdings"/>
    </w:rPr>
  </w:style>
  <w:style w:type="character" w:styleId="ListLabel899">
    <w:name w:val="ListLabel 899"/>
    <w:qFormat/>
    <w:rPr>
      <w:rFonts w:cs="Symbol"/>
    </w:rPr>
  </w:style>
  <w:style w:type="character" w:styleId="ListLabel900">
    <w:name w:val="ListLabel 900"/>
    <w:qFormat/>
    <w:rPr>
      <w:rFonts w:cs="Courier New"/>
    </w:rPr>
  </w:style>
  <w:style w:type="character" w:styleId="ListLabel901">
    <w:name w:val="ListLabel 901"/>
    <w:qFormat/>
    <w:rPr>
      <w:rFonts w:cs="Wingdings"/>
    </w:rPr>
  </w:style>
  <w:style w:type="character" w:styleId="ListLabel902">
    <w:name w:val="ListLabel 902"/>
    <w:qFormat/>
    <w:rPr>
      <w:rFonts w:cs="Symbol"/>
    </w:rPr>
  </w:style>
  <w:style w:type="character" w:styleId="ListLabel903">
    <w:name w:val="ListLabel 903"/>
    <w:qFormat/>
    <w:rPr>
      <w:rFonts w:cs="Courier New"/>
    </w:rPr>
  </w:style>
  <w:style w:type="character" w:styleId="ListLabel904">
    <w:name w:val="ListLabel 904"/>
    <w:qFormat/>
    <w:rPr>
      <w:rFonts w:cs="Wingdings"/>
    </w:rPr>
  </w:style>
  <w:style w:type="character" w:styleId="ListLabel905">
    <w:name w:val="ListLabel 905"/>
    <w:qFormat/>
    <w:rPr>
      <w:rFonts w:ascii="Arial" w:hAnsi="Arial" w:cs="Symbol"/>
      <w:sz w:val="24"/>
    </w:rPr>
  </w:style>
  <w:style w:type="character" w:styleId="ListLabel906">
    <w:name w:val="ListLabel 906"/>
    <w:qFormat/>
    <w:rPr>
      <w:rFonts w:cs="Courier New"/>
    </w:rPr>
  </w:style>
  <w:style w:type="character" w:styleId="ListLabel907">
    <w:name w:val="ListLabel 907"/>
    <w:qFormat/>
    <w:rPr>
      <w:rFonts w:cs="Wingdings"/>
    </w:rPr>
  </w:style>
  <w:style w:type="character" w:styleId="ListLabel908">
    <w:name w:val="ListLabel 908"/>
    <w:qFormat/>
    <w:rPr>
      <w:rFonts w:cs="Symbol"/>
    </w:rPr>
  </w:style>
  <w:style w:type="character" w:styleId="ListLabel909">
    <w:name w:val="ListLabel 909"/>
    <w:qFormat/>
    <w:rPr>
      <w:rFonts w:cs="Courier New"/>
    </w:rPr>
  </w:style>
  <w:style w:type="character" w:styleId="ListLabel910">
    <w:name w:val="ListLabel 910"/>
    <w:qFormat/>
    <w:rPr>
      <w:rFonts w:cs="Wingdings"/>
    </w:rPr>
  </w:style>
  <w:style w:type="character" w:styleId="ListLabel911">
    <w:name w:val="ListLabel 911"/>
    <w:qFormat/>
    <w:rPr>
      <w:rFonts w:cs="Symbol"/>
    </w:rPr>
  </w:style>
  <w:style w:type="character" w:styleId="ListLabel912">
    <w:name w:val="ListLabel 912"/>
    <w:qFormat/>
    <w:rPr>
      <w:rFonts w:cs="Courier New"/>
    </w:rPr>
  </w:style>
  <w:style w:type="character" w:styleId="ListLabel913">
    <w:name w:val="ListLabel 913"/>
    <w:qFormat/>
    <w:rPr>
      <w:rFonts w:cs="Wingdings"/>
    </w:rPr>
  </w:style>
  <w:style w:type="character" w:styleId="ListLabel914">
    <w:name w:val="ListLabel 914"/>
    <w:qFormat/>
    <w:rPr>
      <w:rFonts w:ascii="Arial" w:hAnsi="Arial" w:cs="Symbol"/>
      <w:sz w:val="24"/>
    </w:rPr>
  </w:style>
  <w:style w:type="character" w:styleId="ListLabel915">
    <w:name w:val="ListLabel 915"/>
    <w:qFormat/>
    <w:rPr>
      <w:rFonts w:cs="Courier New"/>
    </w:rPr>
  </w:style>
  <w:style w:type="character" w:styleId="ListLabel916">
    <w:name w:val="ListLabel 916"/>
    <w:qFormat/>
    <w:rPr>
      <w:rFonts w:cs="Wingdings"/>
    </w:rPr>
  </w:style>
  <w:style w:type="character" w:styleId="ListLabel917">
    <w:name w:val="ListLabel 917"/>
    <w:qFormat/>
    <w:rPr>
      <w:rFonts w:cs="Symbol"/>
    </w:rPr>
  </w:style>
  <w:style w:type="character" w:styleId="ListLabel918">
    <w:name w:val="ListLabel 918"/>
    <w:qFormat/>
    <w:rPr>
      <w:rFonts w:cs="Courier New"/>
    </w:rPr>
  </w:style>
  <w:style w:type="character" w:styleId="ListLabel919">
    <w:name w:val="ListLabel 919"/>
    <w:qFormat/>
    <w:rPr>
      <w:rFonts w:cs="Wingdings"/>
    </w:rPr>
  </w:style>
  <w:style w:type="character" w:styleId="ListLabel920">
    <w:name w:val="ListLabel 920"/>
    <w:qFormat/>
    <w:rPr>
      <w:rFonts w:cs="Symbol"/>
    </w:rPr>
  </w:style>
  <w:style w:type="character" w:styleId="ListLabel921">
    <w:name w:val="ListLabel 921"/>
    <w:qFormat/>
    <w:rPr>
      <w:rFonts w:cs="Courier New"/>
    </w:rPr>
  </w:style>
  <w:style w:type="character" w:styleId="ListLabel922">
    <w:name w:val="ListLabel 922"/>
    <w:qFormat/>
    <w:rPr>
      <w:rFonts w:cs="Wingdings"/>
    </w:rPr>
  </w:style>
  <w:style w:type="character" w:styleId="ListLabel923">
    <w:name w:val="ListLabel 923"/>
    <w:qFormat/>
    <w:rPr>
      <w:rFonts w:ascii="Arial" w:hAnsi="Arial" w:cs="Symbol"/>
      <w:b/>
      <w:sz w:val="24"/>
    </w:rPr>
  </w:style>
  <w:style w:type="character" w:styleId="ListLabel924">
    <w:name w:val="ListLabel 924"/>
    <w:qFormat/>
    <w:rPr>
      <w:rFonts w:cs="Courier New"/>
    </w:rPr>
  </w:style>
  <w:style w:type="character" w:styleId="ListLabel925">
    <w:name w:val="ListLabel 925"/>
    <w:qFormat/>
    <w:rPr>
      <w:rFonts w:cs="Wingdings"/>
    </w:rPr>
  </w:style>
  <w:style w:type="character" w:styleId="ListLabel926">
    <w:name w:val="ListLabel 926"/>
    <w:qFormat/>
    <w:rPr>
      <w:rFonts w:cs="Symbol"/>
    </w:rPr>
  </w:style>
  <w:style w:type="character" w:styleId="ListLabel927">
    <w:name w:val="ListLabel 927"/>
    <w:qFormat/>
    <w:rPr>
      <w:rFonts w:cs="Courier New"/>
    </w:rPr>
  </w:style>
  <w:style w:type="character" w:styleId="ListLabel928">
    <w:name w:val="ListLabel 928"/>
    <w:qFormat/>
    <w:rPr>
      <w:rFonts w:cs="Wingdings"/>
    </w:rPr>
  </w:style>
  <w:style w:type="character" w:styleId="ListLabel929">
    <w:name w:val="ListLabel 929"/>
    <w:qFormat/>
    <w:rPr>
      <w:rFonts w:cs="Symbol"/>
    </w:rPr>
  </w:style>
  <w:style w:type="character" w:styleId="ListLabel930">
    <w:name w:val="ListLabel 930"/>
    <w:qFormat/>
    <w:rPr>
      <w:rFonts w:cs="Courier New"/>
    </w:rPr>
  </w:style>
  <w:style w:type="character" w:styleId="ListLabel931">
    <w:name w:val="ListLabel 931"/>
    <w:qFormat/>
    <w:rPr>
      <w:rFonts w:cs="Wingdings"/>
    </w:rPr>
  </w:style>
  <w:style w:type="character" w:styleId="ListLabel932">
    <w:name w:val="ListLabel 932"/>
    <w:qFormat/>
    <w:rPr>
      <w:rFonts w:ascii="Arial" w:hAnsi="Arial" w:cs="Symbol"/>
      <w:sz w:val="24"/>
    </w:rPr>
  </w:style>
  <w:style w:type="character" w:styleId="ListLabel933">
    <w:name w:val="ListLabel 933"/>
    <w:qFormat/>
    <w:rPr>
      <w:rFonts w:cs="Courier New"/>
    </w:rPr>
  </w:style>
  <w:style w:type="character" w:styleId="ListLabel934">
    <w:name w:val="ListLabel 934"/>
    <w:qFormat/>
    <w:rPr>
      <w:rFonts w:cs="Wingdings"/>
    </w:rPr>
  </w:style>
  <w:style w:type="character" w:styleId="ListLabel935">
    <w:name w:val="ListLabel 935"/>
    <w:qFormat/>
    <w:rPr>
      <w:rFonts w:cs="Symbol"/>
    </w:rPr>
  </w:style>
  <w:style w:type="character" w:styleId="ListLabel936">
    <w:name w:val="ListLabel 936"/>
    <w:qFormat/>
    <w:rPr>
      <w:rFonts w:cs="Courier New"/>
    </w:rPr>
  </w:style>
  <w:style w:type="character" w:styleId="ListLabel937">
    <w:name w:val="ListLabel 937"/>
    <w:qFormat/>
    <w:rPr>
      <w:rFonts w:cs="Wingdings"/>
    </w:rPr>
  </w:style>
  <w:style w:type="character" w:styleId="ListLabel938">
    <w:name w:val="ListLabel 938"/>
    <w:qFormat/>
    <w:rPr>
      <w:rFonts w:cs="Symbol"/>
    </w:rPr>
  </w:style>
  <w:style w:type="character" w:styleId="ListLabel939">
    <w:name w:val="ListLabel 939"/>
    <w:qFormat/>
    <w:rPr>
      <w:rFonts w:cs="Courier New"/>
    </w:rPr>
  </w:style>
  <w:style w:type="character" w:styleId="ListLabel940">
    <w:name w:val="ListLabel 940"/>
    <w:qFormat/>
    <w:rPr>
      <w:rFonts w:cs="Wingdings"/>
    </w:rPr>
  </w:style>
  <w:style w:type="character" w:styleId="ListLabel941">
    <w:name w:val="ListLabel 941"/>
    <w:qFormat/>
    <w:rPr>
      <w:rFonts w:ascii="Arial" w:hAnsi="Arial" w:cs="Symbol"/>
      <w:sz w:val="24"/>
    </w:rPr>
  </w:style>
  <w:style w:type="character" w:styleId="ListLabel942">
    <w:name w:val="ListLabel 942"/>
    <w:qFormat/>
    <w:rPr>
      <w:rFonts w:cs="Courier New"/>
    </w:rPr>
  </w:style>
  <w:style w:type="character" w:styleId="ListLabel943">
    <w:name w:val="ListLabel 943"/>
    <w:qFormat/>
    <w:rPr>
      <w:rFonts w:cs="Wingdings"/>
    </w:rPr>
  </w:style>
  <w:style w:type="character" w:styleId="ListLabel944">
    <w:name w:val="ListLabel 944"/>
    <w:qFormat/>
    <w:rPr>
      <w:rFonts w:cs="Symbol"/>
    </w:rPr>
  </w:style>
  <w:style w:type="character" w:styleId="ListLabel945">
    <w:name w:val="ListLabel 945"/>
    <w:qFormat/>
    <w:rPr>
      <w:rFonts w:cs="Courier New"/>
    </w:rPr>
  </w:style>
  <w:style w:type="character" w:styleId="ListLabel946">
    <w:name w:val="ListLabel 946"/>
    <w:qFormat/>
    <w:rPr>
      <w:rFonts w:cs="Wingdings"/>
    </w:rPr>
  </w:style>
  <w:style w:type="character" w:styleId="ListLabel947">
    <w:name w:val="ListLabel 947"/>
    <w:qFormat/>
    <w:rPr>
      <w:rFonts w:cs="Symbol"/>
    </w:rPr>
  </w:style>
  <w:style w:type="character" w:styleId="ListLabel948">
    <w:name w:val="ListLabel 948"/>
    <w:qFormat/>
    <w:rPr>
      <w:rFonts w:cs="Courier New"/>
    </w:rPr>
  </w:style>
  <w:style w:type="character" w:styleId="ListLabel949">
    <w:name w:val="ListLabel 949"/>
    <w:qFormat/>
    <w:rPr>
      <w:rFonts w:cs="Wingdings"/>
    </w:rPr>
  </w:style>
  <w:style w:type="character" w:styleId="ListLabel950">
    <w:name w:val="ListLabel 950"/>
    <w:qFormat/>
    <w:rPr>
      <w:rFonts w:ascii="Arial" w:hAnsi="Arial" w:cs="Symbol"/>
      <w:sz w:val="24"/>
    </w:rPr>
  </w:style>
  <w:style w:type="character" w:styleId="ListLabel951">
    <w:name w:val="ListLabel 951"/>
    <w:qFormat/>
    <w:rPr>
      <w:rFonts w:cs="Courier New"/>
    </w:rPr>
  </w:style>
  <w:style w:type="character" w:styleId="ListLabel952">
    <w:name w:val="ListLabel 952"/>
    <w:qFormat/>
    <w:rPr>
      <w:rFonts w:cs="Wingdings"/>
    </w:rPr>
  </w:style>
  <w:style w:type="character" w:styleId="ListLabel953">
    <w:name w:val="ListLabel 953"/>
    <w:qFormat/>
    <w:rPr>
      <w:rFonts w:cs="Symbol"/>
    </w:rPr>
  </w:style>
  <w:style w:type="character" w:styleId="ListLabel954">
    <w:name w:val="ListLabel 954"/>
    <w:qFormat/>
    <w:rPr>
      <w:rFonts w:cs="Courier New"/>
    </w:rPr>
  </w:style>
  <w:style w:type="character" w:styleId="ListLabel955">
    <w:name w:val="ListLabel 955"/>
    <w:qFormat/>
    <w:rPr>
      <w:rFonts w:cs="Wingdings"/>
    </w:rPr>
  </w:style>
  <w:style w:type="character" w:styleId="ListLabel956">
    <w:name w:val="ListLabel 956"/>
    <w:qFormat/>
    <w:rPr>
      <w:rFonts w:cs="Symbol"/>
    </w:rPr>
  </w:style>
  <w:style w:type="character" w:styleId="ListLabel957">
    <w:name w:val="ListLabel 957"/>
    <w:qFormat/>
    <w:rPr>
      <w:rFonts w:cs="Courier New"/>
    </w:rPr>
  </w:style>
  <w:style w:type="character" w:styleId="ListLabel958">
    <w:name w:val="ListLabel 958"/>
    <w:qFormat/>
    <w:rPr>
      <w:rFonts w:cs="Wingdings"/>
    </w:rPr>
  </w:style>
  <w:style w:type="character" w:styleId="ListLabel959">
    <w:name w:val="ListLabel 959"/>
    <w:qFormat/>
    <w:rPr>
      <w:rFonts w:ascii="Arial" w:hAnsi="Arial" w:cs="Symbol"/>
      <w:b/>
      <w:sz w:val="24"/>
    </w:rPr>
  </w:style>
  <w:style w:type="character" w:styleId="ListLabel960">
    <w:name w:val="ListLabel 960"/>
    <w:qFormat/>
    <w:rPr>
      <w:rFonts w:ascii="Arial" w:hAnsi="Arial" w:cs="Courier New"/>
      <w:b/>
      <w:sz w:val="24"/>
    </w:rPr>
  </w:style>
  <w:style w:type="character" w:styleId="ListLabel961">
    <w:name w:val="ListLabel 961"/>
    <w:qFormat/>
    <w:rPr>
      <w:rFonts w:cs="Wingdings"/>
    </w:rPr>
  </w:style>
  <w:style w:type="character" w:styleId="ListLabel962">
    <w:name w:val="ListLabel 962"/>
    <w:qFormat/>
    <w:rPr>
      <w:rFonts w:ascii="Arial" w:hAnsi="Arial" w:cs="Symbol"/>
      <w:b/>
      <w:sz w:val="24"/>
    </w:rPr>
  </w:style>
  <w:style w:type="character" w:styleId="ListLabel963">
    <w:name w:val="ListLabel 963"/>
    <w:qFormat/>
    <w:rPr>
      <w:rFonts w:cs="Courier New"/>
    </w:rPr>
  </w:style>
  <w:style w:type="character" w:styleId="ListLabel964">
    <w:name w:val="ListLabel 964"/>
    <w:qFormat/>
    <w:rPr>
      <w:rFonts w:cs="Wingdings"/>
    </w:rPr>
  </w:style>
  <w:style w:type="character" w:styleId="ListLabel965">
    <w:name w:val="ListLabel 965"/>
    <w:qFormat/>
    <w:rPr>
      <w:rFonts w:cs="Symbol"/>
    </w:rPr>
  </w:style>
  <w:style w:type="character" w:styleId="ListLabel966">
    <w:name w:val="ListLabel 966"/>
    <w:qFormat/>
    <w:rPr>
      <w:rFonts w:cs="Courier New"/>
    </w:rPr>
  </w:style>
  <w:style w:type="character" w:styleId="ListLabel967">
    <w:name w:val="ListLabel 967"/>
    <w:qFormat/>
    <w:rPr>
      <w:rFonts w:cs="Wingdings"/>
    </w:rPr>
  </w:style>
  <w:style w:type="character" w:styleId="ListLabel968">
    <w:name w:val="ListLabel 968"/>
    <w:qFormat/>
    <w:rPr>
      <w:rFonts w:ascii="Arial" w:hAnsi="Arial" w:cs="Symbol"/>
      <w:b/>
      <w:sz w:val="24"/>
    </w:rPr>
  </w:style>
  <w:style w:type="character" w:styleId="ListLabel969">
    <w:name w:val="ListLabel 969"/>
    <w:qFormat/>
    <w:rPr>
      <w:rFonts w:ascii="Arial" w:hAnsi="Arial" w:cs="Courier New"/>
      <w:b/>
      <w:sz w:val="24"/>
    </w:rPr>
  </w:style>
  <w:style w:type="character" w:styleId="ListLabel970">
    <w:name w:val="ListLabel 970"/>
    <w:qFormat/>
    <w:rPr>
      <w:rFonts w:cs="Wingdings"/>
    </w:rPr>
  </w:style>
  <w:style w:type="character" w:styleId="ListLabel971">
    <w:name w:val="ListLabel 971"/>
    <w:qFormat/>
    <w:rPr>
      <w:rFonts w:cs="Symbol"/>
    </w:rPr>
  </w:style>
  <w:style w:type="character" w:styleId="ListLabel972">
    <w:name w:val="ListLabel 972"/>
    <w:qFormat/>
    <w:rPr>
      <w:rFonts w:cs="Courier New"/>
    </w:rPr>
  </w:style>
  <w:style w:type="character" w:styleId="ListLabel973">
    <w:name w:val="ListLabel 973"/>
    <w:qFormat/>
    <w:rPr>
      <w:rFonts w:cs="Wingdings"/>
    </w:rPr>
  </w:style>
  <w:style w:type="character" w:styleId="ListLabel974">
    <w:name w:val="ListLabel 974"/>
    <w:qFormat/>
    <w:rPr>
      <w:rFonts w:cs="Symbol"/>
    </w:rPr>
  </w:style>
  <w:style w:type="character" w:styleId="ListLabel975">
    <w:name w:val="ListLabel 975"/>
    <w:qFormat/>
    <w:rPr>
      <w:rFonts w:cs="Courier New"/>
    </w:rPr>
  </w:style>
  <w:style w:type="character" w:styleId="ListLabel976">
    <w:name w:val="ListLabel 976"/>
    <w:qFormat/>
    <w:rPr>
      <w:rFonts w:cs="Wingdings"/>
    </w:rPr>
  </w:style>
  <w:style w:type="character" w:styleId="ListLabel977">
    <w:name w:val="ListLabel 977"/>
    <w:qFormat/>
    <w:rPr>
      <w:rFonts w:ascii="Arial" w:hAnsi="Arial" w:cs="Symbol"/>
      <w:b/>
      <w:sz w:val="24"/>
    </w:rPr>
  </w:style>
  <w:style w:type="character" w:styleId="ListLabel978">
    <w:name w:val="ListLabel 978"/>
    <w:qFormat/>
    <w:rPr>
      <w:rFonts w:cs="Courier New"/>
    </w:rPr>
  </w:style>
  <w:style w:type="character" w:styleId="ListLabel979">
    <w:name w:val="ListLabel 979"/>
    <w:qFormat/>
    <w:rPr>
      <w:rFonts w:cs="Wingdings"/>
    </w:rPr>
  </w:style>
  <w:style w:type="character" w:styleId="ListLabel980">
    <w:name w:val="ListLabel 980"/>
    <w:qFormat/>
    <w:rPr>
      <w:rFonts w:cs="Symbol"/>
    </w:rPr>
  </w:style>
  <w:style w:type="character" w:styleId="ListLabel981">
    <w:name w:val="ListLabel 981"/>
    <w:qFormat/>
    <w:rPr>
      <w:rFonts w:cs="Courier New"/>
    </w:rPr>
  </w:style>
  <w:style w:type="character" w:styleId="ListLabel982">
    <w:name w:val="ListLabel 982"/>
    <w:qFormat/>
    <w:rPr>
      <w:rFonts w:cs="Wingdings"/>
    </w:rPr>
  </w:style>
  <w:style w:type="character" w:styleId="ListLabel983">
    <w:name w:val="ListLabel 983"/>
    <w:qFormat/>
    <w:rPr>
      <w:rFonts w:cs="Symbol"/>
    </w:rPr>
  </w:style>
  <w:style w:type="character" w:styleId="ListLabel984">
    <w:name w:val="ListLabel 984"/>
    <w:qFormat/>
    <w:rPr>
      <w:rFonts w:cs="Courier New"/>
    </w:rPr>
  </w:style>
  <w:style w:type="character" w:styleId="ListLabel985">
    <w:name w:val="ListLabel 985"/>
    <w:qFormat/>
    <w:rPr>
      <w:rFonts w:cs="Wingdings"/>
    </w:rPr>
  </w:style>
  <w:style w:type="character" w:styleId="ListLabel986">
    <w:name w:val="ListLabel 986"/>
    <w:qFormat/>
    <w:rPr>
      <w:rFonts w:ascii="Arial" w:hAnsi="Arial" w:cs="Symbol"/>
      <w:b/>
      <w:sz w:val="24"/>
    </w:rPr>
  </w:style>
  <w:style w:type="character" w:styleId="ListLabel987">
    <w:name w:val="ListLabel 987"/>
    <w:qFormat/>
    <w:rPr>
      <w:rFonts w:cs="Courier New"/>
    </w:rPr>
  </w:style>
  <w:style w:type="character" w:styleId="ListLabel988">
    <w:name w:val="ListLabel 988"/>
    <w:qFormat/>
    <w:rPr>
      <w:rFonts w:cs="Wingdings"/>
    </w:rPr>
  </w:style>
  <w:style w:type="character" w:styleId="ListLabel989">
    <w:name w:val="ListLabel 989"/>
    <w:qFormat/>
    <w:rPr>
      <w:rFonts w:cs="Symbol"/>
    </w:rPr>
  </w:style>
  <w:style w:type="character" w:styleId="ListLabel990">
    <w:name w:val="ListLabel 990"/>
    <w:qFormat/>
    <w:rPr>
      <w:rFonts w:cs="Courier New"/>
    </w:rPr>
  </w:style>
  <w:style w:type="character" w:styleId="ListLabel991">
    <w:name w:val="ListLabel 991"/>
    <w:qFormat/>
    <w:rPr>
      <w:rFonts w:cs="Wingdings"/>
    </w:rPr>
  </w:style>
  <w:style w:type="character" w:styleId="ListLabel992">
    <w:name w:val="ListLabel 992"/>
    <w:qFormat/>
    <w:rPr>
      <w:rFonts w:cs="Symbol"/>
    </w:rPr>
  </w:style>
  <w:style w:type="character" w:styleId="ListLabel993">
    <w:name w:val="ListLabel 993"/>
    <w:qFormat/>
    <w:rPr>
      <w:rFonts w:cs="Courier New"/>
    </w:rPr>
  </w:style>
  <w:style w:type="character" w:styleId="ListLabel994">
    <w:name w:val="ListLabel 994"/>
    <w:qFormat/>
    <w:rPr>
      <w:rFonts w:cs="Wingdings"/>
    </w:rPr>
  </w:style>
  <w:style w:type="character" w:styleId="ListLabel995">
    <w:name w:val="ListLabel 995"/>
    <w:qFormat/>
    <w:rPr>
      <w:rFonts w:ascii="Arial" w:hAnsi="Arial" w:cs="Symbol"/>
      <w:b/>
      <w:sz w:val="24"/>
    </w:rPr>
  </w:style>
  <w:style w:type="character" w:styleId="ListLabel996">
    <w:name w:val="ListLabel 996"/>
    <w:qFormat/>
    <w:rPr>
      <w:rFonts w:cs="Courier New"/>
    </w:rPr>
  </w:style>
  <w:style w:type="character" w:styleId="ListLabel997">
    <w:name w:val="ListLabel 997"/>
    <w:qFormat/>
    <w:rPr>
      <w:rFonts w:cs="Wingdings"/>
    </w:rPr>
  </w:style>
  <w:style w:type="character" w:styleId="ListLabel998">
    <w:name w:val="ListLabel 998"/>
    <w:qFormat/>
    <w:rPr>
      <w:rFonts w:cs="Symbol"/>
    </w:rPr>
  </w:style>
  <w:style w:type="character" w:styleId="ListLabel999">
    <w:name w:val="ListLabel 999"/>
    <w:qFormat/>
    <w:rPr>
      <w:rFonts w:cs="Courier New"/>
    </w:rPr>
  </w:style>
  <w:style w:type="character" w:styleId="ListLabel1000">
    <w:name w:val="ListLabel 1000"/>
    <w:qFormat/>
    <w:rPr>
      <w:rFonts w:cs="Wingdings"/>
    </w:rPr>
  </w:style>
  <w:style w:type="character" w:styleId="ListLabel1001">
    <w:name w:val="ListLabel 1001"/>
    <w:qFormat/>
    <w:rPr>
      <w:rFonts w:cs="Symbol"/>
    </w:rPr>
  </w:style>
  <w:style w:type="character" w:styleId="ListLabel1002">
    <w:name w:val="ListLabel 1002"/>
    <w:qFormat/>
    <w:rPr>
      <w:rFonts w:cs="Courier New"/>
    </w:rPr>
  </w:style>
  <w:style w:type="character" w:styleId="ListLabel1003">
    <w:name w:val="ListLabel 1003"/>
    <w:qFormat/>
    <w:rPr>
      <w:rFonts w:cs="Wingdings"/>
    </w:rPr>
  </w:style>
  <w:style w:type="character" w:styleId="ListLabel1004">
    <w:name w:val="ListLabel 1004"/>
    <w:qFormat/>
    <w:rPr>
      <w:rFonts w:ascii="Arial" w:hAnsi="Arial" w:eastAsia="SimSun" w:cs="Arial"/>
      <w:b/>
      <w:sz w:val="24"/>
    </w:rPr>
  </w:style>
  <w:style w:type="character" w:styleId="ListLabel1005">
    <w:name w:val="ListLabel 1005"/>
    <w:qFormat/>
    <w:rPr>
      <w:rFonts w:ascii="Arial" w:hAnsi="Arial" w:eastAsia="Times New Roman" w:cs="Arial"/>
      <w:sz w:val="24"/>
    </w:rPr>
  </w:style>
  <w:style w:type="character" w:styleId="ListLabel1006">
    <w:name w:val="ListLabel 1006"/>
    <w:qFormat/>
    <w:rPr>
      <w:rFonts w:ascii="Arial" w:hAnsi="Arial" w:eastAsia="Times New Roman" w:cs="Arial"/>
      <w:sz w:val="24"/>
    </w:rPr>
  </w:style>
  <w:style w:type="character" w:styleId="ListLabel1007">
    <w:name w:val="ListLabel 1007"/>
    <w:qFormat/>
    <w:rPr>
      <w:rFonts w:ascii="Arial" w:hAnsi="Arial" w:eastAsia="Times New Roman" w:cs="Arial"/>
      <w:sz w:val="24"/>
    </w:rPr>
  </w:style>
  <w:style w:type="character" w:styleId="ListLabel1008">
    <w:name w:val="ListLabel 1008"/>
    <w:qFormat/>
    <w:rPr>
      <w:rFonts w:ascii="Arial" w:hAnsi="Arial" w:cs="Symbol"/>
      <w:sz w:val="24"/>
    </w:rPr>
  </w:style>
  <w:style w:type="character" w:styleId="ListLabel1009">
    <w:name w:val="ListLabel 1009"/>
    <w:qFormat/>
    <w:rPr>
      <w:rFonts w:cs="Courier New"/>
    </w:rPr>
  </w:style>
  <w:style w:type="character" w:styleId="ListLabel1010">
    <w:name w:val="ListLabel 1010"/>
    <w:qFormat/>
    <w:rPr>
      <w:rFonts w:cs="Wingdings"/>
    </w:rPr>
  </w:style>
  <w:style w:type="character" w:styleId="ListLabel1011">
    <w:name w:val="ListLabel 1011"/>
    <w:qFormat/>
    <w:rPr>
      <w:rFonts w:cs="Symbol"/>
    </w:rPr>
  </w:style>
  <w:style w:type="character" w:styleId="ListLabel1012">
    <w:name w:val="ListLabel 1012"/>
    <w:qFormat/>
    <w:rPr>
      <w:rFonts w:cs="Courier New"/>
    </w:rPr>
  </w:style>
  <w:style w:type="character" w:styleId="ListLabel1013">
    <w:name w:val="ListLabel 1013"/>
    <w:qFormat/>
    <w:rPr>
      <w:rFonts w:cs="Wingdings"/>
    </w:rPr>
  </w:style>
  <w:style w:type="character" w:styleId="ListLabel1014">
    <w:name w:val="ListLabel 1014"/>
    <w:qFormat/>
    <w:rPr>
      <w:rFonts w:cs="Symbol"/>
    </w:rPr>
  </w:style>
  <w:style w:type="character" w:styleId="ListLabel1015">
    <w:name w:val="ListLabel 1015"/>
    <w:qFormat/>
    <w:rPr>
      <w:rFonts w:cs="Courier New"/>
    </w:rPr>
  </w:style>
  <w:style w:type="character" w:styleId="ListLabel1016">
    <w:name w:val="ListLabel 1016"/>
    <w:qFormat/>
    <w:rPr>
      <w:rFonts w:cs="Wingdings"/>
    </w:rPr>
  </w:style>
  <w:style w:type="character" w:styleId="ListLabel1017">
    <w:name w:val="ListLabel 1017"/>
    <w:qFormat/>
    <w:rPr>
      <w:rFonts w:ascii="Arial" w:hAnsi="Arial" w:eastAsia="Times New Roman" w:cs="Arial"/>
      <w:sz w:val="24"/>
    </w:rPr>
  </w:style>
  <w:style w:type="character" w:styleId="ListLabel1018">
    <w:name w:val="ListLabel 1018"/>
    <w:qFormat/>
    <w:rPr>
      <w:rFonts w:ascii="Arial" w:hAnsi="Arial" w:eastAsia="Times New Roman" w:cs="Arial"/>
      <w:sz w:val="24"/>
    </w:rPr>
  </w:style>
  <w:style w:type="character" w:styleId="ListLabel1019">
    <w:name w:val="ListLabel 1019"/>
    <w:qFormat/>
    <w:rPr>
      <w:rFonts w:ascii="Arial" w:hAnsi="Arial" w:eastAsia="Times New Roman" w:cs="Arial"/>
      <w:sz w:val="24"/>
    </w:rPr>
  </w:style>
  <w:style w:type="character" w:styleId="ListLabel1020">
    <w:name w:val="ListLabel 1020"/>
    <w:qFormat/>
    <w:rPr>
      <w:rFonts w:ascii="Arial" w:hAnsi="Arial" w:eastAsia="Times New Roman" w:cs="Arial"/>
      <w:sz w:val="24"/>
    </w:rPr>
  </w:style>
  <w:style w:type="character" w:styleId="ListLabel1021">
    <w:name w:val="ListLabel 1021"/>
    <w:qFormat/>
    <w:rPr>
      <w:rFonts w:ascii="Arial" w:hAnsi="Arial" w:cs="Arial"/>
      <w:sz w:val="24"/>
    </w:rPr>
  </w:style>
  <w:style w:type="character" w:styleId="ListLabel1022">
    <w:name w:val="ListLabel 1022"/>
    <w:qFormat/>
    <w:rPr>
      <w:rFonts w:ascii="Arial" w:hAnsi="Arial" w:eastAsia="Times New Roman" w:cs="Arial"/>
      <w:sz w:val="24"/>
    </w:rPr>
  </w:style>
  <w:style w:type="character" w:styleId="ListLabel1023">
    <w:name w:val="ListLabel 1023"/>
    <w:qFormat/>
    <w:rPr>
      <w:rFonts w:ascii="Arial" w:hAnsi="Arial" w:eastAsia="Times New Roman" w:cs="Arial"/>
      <w:sz w:val="24"/>
    </w:rPr>
  </w:style>
  <w:style w:type="character" w:styleId="ListLabel1024">
    <w:name w:val="ListLabel 1024"/>
    <w:qFormat/>
    <w:rPr>
      <w:rFonts w:ascii="Arial" w:hAnsi="Arial" w:eastAsia="Times New Roman" w:cs="Arial"/>
      <w:sz w:val="24"/>
    </w:rPr>
  </w:style>
  <w:style w:type="character" w:styleId="ListLabel1025">
    <w:name w:val="ListLabel 1025"/>
    <w:qFormat/>
    <w:rPr>
      <w:rFonts w:ascii="Arial" w:hAnsi="Arial" w:eastAsia="Times New Roman" w:cs="Arial"/>
      <w:sz w:val="24"/>
    </w:rPr>
  </w:style>
  <w:style w:type="character" w:styleId="ListLabel1026">
    <w:name w:val="ListLabel 1026"/>
    <w:qFormat/>
    <w:rPr>
      <w:rFonts w:ascii="Arial" w:hAnsi="Arial" w:eastAsia="Times New Roman" w:cs="Arial"/>
      <w:sz w:val="24"/>
    </w:rPr>
  </w:style>
  <w:style w:type="character" w:styleId="ListLabel1027">
    <w:name w:val="ListLabel 1027"/>
    <w:qFormat/>
    <w:rPr>
      <w:rFonts w:ascii="Arial" w:hAnsi="Arial" w:eastAsia="Times New Roman" w:cs="Arial"/>
      <w:sz w:val="24"/>
    </w:rPr>
  </w:style>
  <w:style w:type="character" w:styleId="ListLabel1028">
    <w:name w:val="ListLabel 1028"/>
    <w:qFormat/>
    <w:rPr>
      <w:rFonts w:ascii="Arial" w:hAnsi="Arial" w:cs="Symbol"/>
      <w:b/>
      <w:sz w:val="24"/>
    </w:rPr>
  </w:style>
  <w:style w:type="character" w:styleId="ListLabel1029">
    <w:name w:val="ListLabel 1029"/>
    <w:qFormat/>
    <w:rPr>
      <w:rFonts w:cs="Courier New"/>
    </w:rPr>
  </w:style>
  <w:style w:type="character" w:styleId="ListLabel1030">
    <w:name w:val="ListLabel 1030"/>
    <w:qFormat/>
    <w:rPr>
      <w:rFonts w:cs="Wingdings"/>
    </w:rPr>
  </w:style>
  <w:style w:type="character" w:styleId="ListLabel1031">
    <w:name w:val="ListLabel 1031"/>
    <w:qFormat/>
    <w:rPr>
      <w:rFonts w:cs="Symbol"/>
    </w:rPr>
  </w:style>
  <w:style w:type="character" w:styleId="ListLabel1032">
    <w:name w:val="ListLabel 1032"/>
    <w:qFormat/>
    <w:rPr>
      <w:rFonts w:cs="Courier New"/>
    </w:rPr>
  </w:style>
  <w:style w:type="character" w:styleId="ListLabel1033">
    <w:name w:val="ListLabel 1033"/>
    <w:qFormat/>
    <w:rPr>
      <w:rFonts w:cs="Wingdings"/>
    </w:rPr>
  </w:style>
  <w:style w:type="character" w:styleId="ListLabel1034">
    <w:name w:val="ListLabel 1034"/>
    <w:qFormat/>
    <w:rPr>
      <w:rFonts w:cs="Symbol"/>
    </w:rPr>
  </w:style>
  <w:style w:type="character" w:styleId="ListLabel1035">
    <w:name w:val="ListLabel 1035"/>
    <w:qFormat/>
    <w:rPr>
      <w:rFonts w:cs="Courier New"/>
    </w:rPr>
  </w:style>
  <w:style w:type="character" w:styleId="ListLabel1036">
    <w:name w:val="ListLabel 1036"/>
    <w:qFormat/>
    <w:rPr>
      <w:rFonts w:cs="Wingdings"/>
    </w:rPr>
  </w:style>
  <w:style w:type="character" w:styleId="ListLabel1037">
    <w:name w:val="ListLabel 1037"/>
    <w:qFormat/>
    <w:rPr>
      <w:rFonts w:ascii="Arial" w:hAnsi="Arial" w:cs="Symbol"/>
      <w:b w:val="false"/>
      <w:color w:val="000000"/>
      <w:sz w:val="24"/>
      <w:szCs w:val="24"/>
      <w:highlight w:val="white"/>
      <w:lang w:val="en-US" w:eastAsia="en-US" w:bidi="hi-IN"/>
    </w:rPr>
  </w:style>
  <w:style w:type="character" w:styleId="ListLabel1038">
    <w:name w:val="ListLabel 1038"/>
    <w:qFormat/>
    <w:rPr>
      <w:rFonts w:ascii="Arial" w:hAnsi="Arial" w:eastAsia="SimSun" w:cs="Arial"/>
      <w:sz w:val="24"/>
      <w:szCs w:val="24"/>
      <w:lang w:bidi="hi-IN"/>
    </w:rPr>
  </w:style>
  <w:style w:type="character" w:styleId="ListLabel1039">
    <w:name w:val="ListLabel 1039"/>
    <w:qFormat/>
    <w:rPr>
      <w:rFonts w:ascii="Arial" w:hAnsi="Arial" w:eastAsia="SimSun" w:cs="Arial"/>
      <w:sz w:val="24"/>
      <w:szCs w:val="24"/>
      <w:lang w:bidi="hi-IN"/>
    </w:rPr>
  </w:style>
  <w:style w:type="character" w:styleId="ListLabel1040">
    <w:name w:val="ListLabel 1040"/>
    <w:qFormat/>
    <w:rPr>
      <w:rFonts w:ascii="Arial" w:hAnsi="Arial" w:eastAsia="SimSun" w:cs="Arial"/>
      <w:sz w:val="24"/>
    </w:rPr>
  </w:style>
  <w:style w:type="character" w:styleId="ListLabel1041">
    <w:name w:val="ListLabel 1041"/>
    <w:qFormat/>
    <w:rPr>
      <w:rFonts w:ascii="Arial" w:hAnsi="Arial" w:eastAsia="Times New Roman" w:cs="Arial"/>
      <w:sz w:val="24"/>
    </w:rPr>
  </w:style>
  <w:style w:type="character" w:styleId="ListLabel1042">
    <w:name w:val="ListLabel 1042"/>
    <w:qFormat/>
    <w:rPr>
      <w:rFonts w:cs="Arial"/>
      <w:b/>
      <w:sz w:val="24"/>
    </w:rPr>
  </w:style>
  <w:style w:type="character" w:styleId="ListLabel1043">
    <w:name w:val="ListLabel 1043"/>
    <w:qFormat/>
    <w:rPr>
      <w:rFonts w:ascii="Arial" w:hAnsi="Arial" w:cs="Symbol"/>
      <w:sz w:val="24"/>
    </w:rPr>
  </w:style>
  <w:style w:type="character" w:styleId="ListLabel1044">
    <w:name w:val="ListLabel 1044"/>
    <w:qFormat/>
    <w:rPr>
      <w:rFonts w:cs="Courier New"/>
    </w:rPr>
  </w:style>
  <w:style w:type="character" w:styleId="ListLabel1045">
    <w:name w:val="ListLabel 1045"/>
    <w:qFormat/>
    <w:rPr>
      <w:rFonts w:cs="Wingdings"/>
    </w:rPr>
  </w:style>
  <w:style w:type="character" w:styleId="ListLabel1046">
    <w:name w:val="ListLabel 1046"/>
    <w:qFormat/>
    <w:rPr>
      <w:rFonts w:cs="Symbol"/>
    </w:rPr>
  </w:style>
  <w:style w:type="character" w:styleId="ListLabel1047">
    <w:name w:val="ListLabel 1047"/>
    <w:qFormat/>
    <w:rPr>
      <w:rFonts w:cs="Courier New"/>
    </w:rPr>
  </w:style>
  <w:style w:type="character" w:styleId="ListLabel1048">
    <w:name w:val="ListLabel 1048"/>
    <w:qFormat/>
    <w:rPr>
      <w:rFonts w:cs="Wingdings"/>
    </w:rPr>
  </w:style>
  <w:style w:type="character" w:styleId="ListLabel1049">
    <w:name w:val="ListLabel 1049"/>
    <w:qFormat/>
    <w:rPr>
      <w:rFonts w:cs="Symbol"/>
    </w:rPr>
  </w:style>
  <w:style w:type="character" w:styleId="ListLabel1050">
    <w:name w:val="ListLabel 1050"/>
    <w:qFormat/>
    <w:rPr>
      <w:rFonts w:cs="Courier New"/>
    </w:rPr>
  </w:style>
  <w:style w:type="character" w:styleId="ListLabel1051">
    <w:name w:val="ListLabel 1051"/>
    <w:qFormat/>
    <w:rPr>
      <w:rFonts w:cs="Wingdings"/>
    </w:rPr>
  </w:style>
  <w:style w:type="character" w:styleId="ListLabel1052">
    <w:name w:val="ListLabel 1052"/>
    <w:qFormat/>
    <w:rPr>
      <w:rFonts w:ascii="Arial" w:hAnsi="Arial" w:cs="Symbol"/>
      <w:sz w:val="24"/>
    </w:rPr>
  </w:style>
  <w:style w:type="character" w:styleId="ListLabel1053">
    <w:name w:val="ListLabel 1053"/>
    <w:qFormat/>
    <w:rPr>
      <w:rFonts w:cs="Courier New"/>
    </w:rPr>
  </w:style>
  <w:style w:type="character" w:styleId="ListLabel1054">
    <w:name w:val="ListLabel 1054"/>
    <w:qFormat/>
    <w:rPr>
      <w:rFonts w:cs="Wingdings"/>
    </w:rPr>
  </w:style>
  <w:style w:type="character" w:styleId="ListLabel1055">
    <w:name w:val="ListLabel 1055"/>
    <w:qFormat/>
    <w:rPr>
      <w:rFonts w:cs="Symbol"/>
    </w:rPr>
  </w:style>
  <w:style w:type="character" w:styleId="ListLabel1056">
    <w:name w:val="ListLabel 1056"/>
    <w:qFormat/>
    <w:rPr>
      <w:rFonts w:cs="Courier New"/>
    </w:rPr>
  </w:style>
  <w:style w:type="character" w:styleId="ListLabel1057">
    <w:name w:val="ListLabel 1057"/>
    <w:qFormat/>
    <w:rPr>
      <w:rFonts w:cs="Wingdings"/>
    </w:rPr>
  </w:style>
  <w:style w:type="character" w:styleId="ListLabel1058">
    <w:name w:val="ListLabel 1058"/>
    <w:qFormat/>
    <w:rPr>
      <w:rFonts w:cs="Symbol"/>
    </w:rPr>
  </w:style>
  <w:style w:type="character" w:styleId="ListLabel1059">
    <w:name w:val="ListLabel 1059"/>
    <w:qFormat/>
    <w:rPr>
      <w:rFonts w:cs="Courier New"/>
    </w:rPr>
  </w:style>
  <w:style w:type="character" w:styleId="ListLabel1060">
    <w:name w:val="ListLabel 1060"/>
    <w:qFormat/>
    <w:rPr>
      <w:rFonts w:cs="Wingdings"/>
    </w:rPr>
  </w:style>
  <w:style w:type="character" w:styleId="ListLabel1061">
    <w:name w:val="ListLabel 1061"/>
    <w:qFormat/>
    <w:rPr>
      <w:rFonts w:ascii="Arial" w:hAnsi="Arial" w:cs="Symbol"/>
      <w:sz w:val="24"/>
    </w:rPr>
  </w:style>
  <w:style w:type="character" w:styleId="ListLabel1062">
    <w:name w:val="ListLabel 1062"/>
    <w:qFormat/>
    <w:rPr>
      <w:rFonts w:cs="Courier New"/>
    </w:rPr>
  </w:style>
  <w:style w:type="character" w:styleId="ListLabel1063">
    <w:name w:val="ListLabel 1063"/>
    <w:qFormat/>
    <w:rPr>
      <w:rFonts w:cs="Wingdings"/>
    </w:rPr>
  </w:style>
  <w:style w:type="character" w:styleId="ListLabel1064">
    <w:name w:val="ListLabel 1064"/>
    <w:qFormat/>
    <w:rPr>
      <w:rFonts w:cs="Symbol"/>
    </w:rPr>
  </w:style>
  <w:style w:type="character" w:styleId="ListLabel1065">
    <w:name w:val="ListLabel 1065"/>
    <w:qFormat/>
    <w:rPr>
      <w:rFonts w:cs="Courier New"/>
    </w:rPr>
  </w:style>
  <w:style w:type="character" w:styleId="ListLabel1066">
    <w:name w:val="ListLabel 1066"/>
    <w:qFormat/>
    <w:rPr>
      <w:rFonts w:cs="Wingdings"/>
    </w:rPr>
  </w:style>
  <w:style w:type="character" w:styleId="ListLabel1067">
    <w:name w:val="ListLabel 1067"/>
    <w:qFormat/>
    <w:rPr>
      <w:rFonts w:cs="Symbol"/>
    </w:rPr>
  </w:style>
  <w:style w:type="character" w:styleId="ListLabel1068">
    <w:name w:val="ListLabel 1068"/>
    <w:qFormat/>
    <w:rPr>
      <w:rFonts w:cs="Courier New"/>
    </w:rPr>
  </w:style>
  <w:style w:type="character" w:styleId="ListLabel1069">
    <w:name w:val="ListLabel 1069"/>
    <w:qFormat/>
    <w:rPr>
      <w:rFonts w:cs="Wingdings"/>
    </w:rPr>
  </w:style>
  <w:style w:type="character" w:styleId="ListLabel1070">
    <w:name w:val="ListLabel 1070"/>
    <w:qFormat/>
    <w:rPr>
      <w:rFonts w:ascii="Arial" w:hAnsi="Arial" w:cs="Symbol"/>
      <w:sz w:val="24"/>
    </w:rPr>
  </w:style>
  <w:style w:type="character" w:styleId="ListLabel1071">
    <w:name w:val="ListLabel 1071"/>
    <w:qFormat/>
    <w:rPr>
      <w:rFonts w:cs="Courier New"/>
    </w:rPr>
  </w:style>
  <w:style w:type="character" w:styleId="ListLabel1072">
    <w:name w:val="ListLabel 1072"/>
    <w:qFormat/>
    <w:rPr>
      <w:rFonts w:cs="Wingdings"/>
    </w:rPr>
  </w:style>
  <w:style w:type="character" w:styleId="ListLabel1073">
    <w:name w:val="ListLabel 1073"/>
    <w:qFormat/>
    <w:rPr>
      <w:rFonts w:cs="Symbol"/>
    </w:rPr>
  </w:style>
  <w:style w:type="character" w:styleId="ListLabel1074">
    <w:name w:val="ListLabel 1074"/>
    <w:qFormat/>
    <w:rPr>
      <w:rFonts w:cs="Courier New"/>
    </w:rPr>
  </w:style>
  <w:style w:type="character" w:styleId="ListLabel1075">
    <w:name w:val="ListLabel 1075"/>
    <w:qFormat/>
    <w:rPr>
      <w:rFonts w:cs="Wingdings"/>
    </w:rPr>
  </w:style>
  <w:style w:type="character" w:styleId="ListLabel1076">
    <w:name w:val="ListLabel 1076"/>
    <w:qFormat/>
    <w:rPr>
      <w:rFonts w:cs="Symbol"/>
    </w:rPr>
  </w:style>
  <w:style w:type="character" w:styleId="ListLabel1077">
    <w:name w:val="ListLabel 1077"/>
    <w:qFormat/>
    <w:rPr>
      <w:rFonts w:cs="Courier New"/>
    </w:rPr>
  </w:style>
  <w:style w:type="character" w:styleId="ListLabel1078">
    <w:name w:val="ListLabel 1078"/>
    <w:qFormat/>
    <w:rPr>
      <w:rFonts w:cs="Wingdings"/>
    </w:rPr>
  </w:style>
  <w:style w:type="character" w:styleId="ListLabel1079">
    <w:name w:val="ListLabel 1079"/>
    <w:qFormat/>
    <w:rPr>
      <w:rFonts w:ascii="Arial" w:hAnsi="Arial" w:cs="Symbol"/>
      <w:sz w:val="24"/>
    </w:rPr>
  </w:style>
  <w:style w:type="character" w:styleId="ListLabel1080">
    <w:name w:val="ListLabel 1080"/>
    <w:qFormat/>
    <w:rPr>
      <w:rFonts w:cs="Courier New"/>
    </w:rPr>
  </w:style>
  <w:style w:type="character" w:styleId="ListLabel1081">
    <w:name w:val="ListLabel 1081"/>
    <w:qFormat/>
    <w:rPr>
      <w:rFonts w:cs="Wingdings"/>
    </w:rPr>
  </w:style>
  <w:style w:type="character" w:styleId="ListLabel1082">
    <w:name w:val="ListLabel 1082"/>
    <w:qFormat/>
    <w:rPr>
      <w:rFonts w:cs="Symbol"/>
    </w:rPr>
  </w:style>
  <w:style w:type="character" w:styleId="ListLabel1083">
    <w:name w:val="ListLabel 1083"/>
    <w:qFormat/>
    <w:rPr>
      <w:rFonts w:cs="Courier New"/>
    </w:rPr>
  </w:style>
  <w:style w:type="character" w:styleId="ListLabel1084">
    <w:name w:val="ListLabel 1084"/>
    <w:qFormat/>
    <w:rPr>
      <w:rFonts w:cs="Wingdings"/>
    </w:rPr>
  </w:style>
  <w:style w:type="character" w:styleId="ListLabel1085">
    <w:name w:val="ListLabel 1085"/>
    <w:qFormat/>
    <w:rPr>
      <w:rFonts w:cs="Symbol"/>
    </w:rPr>
  </w:style>
  <w:style w:type="character" w:styleId="ListLabel1086">
    <w:name w:val="ListLabel 1086"/>
    <w:qFormat/>
    <w:rPr>
      <w:rFonts w:cs="Courier New"/>
    </w:rPr>
  </w:style>
  <w:style w:type="character" w:styleId="ListLabel1087">
    <w:name w:val="ListLabel 1087"/>
    <w:qFormat/>
    <w:rPr>
      <w:rFonts w:cs="Wingdings"/>
    </w:rPr>
  </w:style>
  <w:style w:type="character" w:styleId="ListLabel1088">
    <w:name w:val="ListLabel 1088"/>
    <w:qFormat/>
    <w:rPr>
      <w:rFonts w:ascii="Arial" w:hAnsi="Arial" w:cs="Symbol"/>
      <w:sz w:val="24"/>
    </w:rPr>
  </w:style>
  <w:style w:type="character" w:styleId="ListLabel1089">
    <w:name w:val="ListLabel 1089"/>
    <w:qFormat/>
    <w:rPr>
      <w:rFonts w:ascii="Arial" w:hAnsi="Arial" w:cs="Courier New"/>
      <w:sz w:val="24"/>
    </w:rPr>
  </w:style>
  <w:style w:type="character" w:styleId="ListLabel1090">
    <w:name w:val="ListLabel 1090"/>
    <w:qFormat/>
    <w:rPr>
      <w:rFonts w:cs="Wingdings"/>
    </w:rPr>
  </w:style>
  <w:style w:type="character" w:styleId="ListLabel1091">
    <w:name w:val="ListLabel 1091"/>
    <w:qFormat/>
    <w:rPr>
      <w:rFonts w:cs="Symbol"/>
    </w:rPr>
  </w:style>
  <w:style w:type="character" w:styleId="ListLabel1092">
    <w:name w:val="ListLabel 1092"/>
    <w:qFormat/>
    <w:rPr>
      <w:rFonts w:cs="Courier New"/>
    </w:rPr>
  </w:style>
  <w:style w:type="character" w:styleId="ListLabel1093">
    <w:name w:val="ListLabel 1093"/>
    <w:qFormat/>
    <w:rPr>
      <w:rFonts w:cs="Wingdings"/>
    </w:rPr>
  </w:style>
  <w:style w:type="character" w:styleId="ListLabel1094">
    <w:name w:val="ListLabel 1094"/>
    <w:qFormat/>
    <w:rPr>
      <w:rFonts w:cs="Symbol"/>
    </w:rPr>
  </w:style>
  <w:style w:type="character" w:styleId="ListLabel1095">
    <w:name w:val="ListLabel 1095"/>
    <w:qFormat/>
    <w:rPr>
      <w:rFonts w:cs="Courier New"/>
    </w:rPr>
  </w:style>
  <w:style w:type="character" w:styleId="ListLabel1096">
    <w:name w:val="ListLabel 1096"/>
    <w:qFormat/>
    <w:rPr>
      <w:rFonts w:cs="Wingdings"/>
    </w:rPr>
  </w:style>
  <w:style w:type="character" w:styleId="ListLabel1097">
    <w:name w:val="ListLabel 1097"/>
    <w:qFormat/>
    <w:rPr>
      <w:rFonts w:ascii="Arial" w:hAnsi="Arial" w:cs="Symbol"/>
      <w:b/>
      <w:sz w:val="24"/>
    </w:rPr>
  </w:style>
  <w:style w:type="character" w:styleId="ListLabel1098">
    <w:name w:val="ListLabel 1098"/>
    <w:qFormat/>
    <w:rPr>
      <w:rFonts w:ascii="Arial" w:hAnsi="Arial" w:cs="Courier New"/>
      <w:sz w:val="24"/>
    </w:rPr>
  </w:style>
  <w:style w:type="character" w:styleId="ListLabel1099">
    <w:name w:val="ListLabel 1099"/>
    <w:qFormat/>
    <w:rPr>
      <w:rFonts w:cs="Wingdings"/>
    </w:rPr>
  </w:style>
  <w:style w:type="character" w:styleId="ListLabel1100">
    <w:name w:val="ListLabel 1100"/>
    <w:qFormat/>
    <w:rPr>
      <w:rFonts w:cs="Symbol"/>
    </w:rPr>
  </w:style>
  <w:style w:type="character" w:styleId="ListLabel1101">
    <w:name w:val="ListLabel 1101"/>
    <w:qFormat/>
    <w:rPr>
      <w:rFonts w:cs="Courier New"/>
    </w:rPr>
  </w:style>
  <w:style w:type="character" w:styleId="ListLabel1102">
    <w:name w:val="ListLabel 1102"/>
    <w:qFormat/>
    <w:rPr>
      <w:rFonts w:cs="Wingdings"/>
    </w:rPr>
  </w:style>
  <w:style w:type="character" w:styleId="ListLabel1103">
    <w:name w:val="ListLabel 1103"/>
    <w:qFormat/>
    <w:rPr>
      <w:rFonts w:cs="Symbol"/>
    </w:rPr>
  </w:style>
  <w:style w:type="character" w:styleId="ListLabel1104">
    <w:name w:val="ListLabel 1104"/>
    <w:qFormat/>
    <w:rPr>
      <w:rFonts w:cs="Courier New"/>
    </w:rPr>
  </w:style>
  <w:style w:type="character" w:styleId="ListLabel1105">
    <w:name w:val="ListLabel 1105"/>
    <w:qFormat/>
    <w:rPr>
      <w:rFonts w:cs="Wingdings"/>
    </w:rPr>
  </w:style>
  <w:style w:type="character" w:styleId="ListLabel1106">
    <w:name w:val="ListLabel 1106"/>
    <w:qFormat/>
    <w:rPr>
      <w:rFonts w:ascii="Arial" w:hAnsi="Arial" w:cs="Symbol"/>
      <w:sz w:val="24"/>
    </w:rPr>
  </w:style>
  <w:style w:type="character" w:styleId="ListLabel1107">
    <w:name w:val="ListLabel 1107"/>
    <w:qFormat/>
    <w:rPr>
      <w:rFonts w:cs="Courier New"/>
    </w:rPr>
  </w:style>
  <w:style w:type="character" w:styleId="ListLabel1108">
    <w:name w:val="ListLabel 1108"/>
    <w:qFormat/>
    <w:rPr>
      <w:rFonts w:cs="Wingdings"/>
    </w:rPr>
  </w:style>
  <w:style w:type="character" w:styleId="ListLabel1109">
    <w:name w:val="ListLabel 1109"/>
    <w:qFormat/>
    <w:rPr>
      <w:rFonts w:cs="Symbol"/>
    </w:rPr>
  </w:style>
  <w:style w:type="character" w:styleId="ListLabel1110">
    <w:name w:val="ListLabel 1110"/>
    <w:qFormat/>
    <w:rPr>
      <w:rFonts w:cs="Courier New"/>
    </w:rPr>
  </w:style>
  <w:style w:type="character" w:styleId="ListLabel1111">
    <w:name w:val="ListLabel 1111"/>
    <w:qFormat/>
    <w:rPr>
      <w:rFonts w:cs="Wingdings"/>
    </w:rPr>
  </w:style>
  <w:style w:type="character" w:styleId="ListLabel1112">
    <w:name w:val="ListLabel 1112"/>
    <w:qFormat/>
    <w:rPr>
      <w:rFonts w:cs="Symbol"/>
    </w:rPr>
  </w:style>
  <w:style w:type="character" w:styleId="ListLabel1113">
    <w:name w:val="ListLabel 1113"/>
    <w:qFormat/>
    <w:rPr>
      <w:rFonts w:cs="Courier New"/>
    </w:rPr>
  </w:style>
  <w:style w:type="character" w:styleId="ListLabel1114">
    <w:name w:val="ListLabel 1114"/>
    <w:qFormat/>
    <w:rPr>
      <w:rFonts w:cs="Wingdings"/>
    </w:rPr>
  </w:style>
  <w:style w:type="character" w:styleId="ListLabel1115">
    <w:name w:val="ListLabel 1115"/>
    <w:qFormat/>
    <w:rPr>
      <w:rFonts w:ascii="Arial" w:hAnsi="Arial" w:cs="Symbol"/>
      <w:sz w:val="24"/>
    </w:rPr>
  </w:style>
  <w:style w:type="character" w:styleId="ListLabel1116">
    <w:name w:val="ListLabel 1116"/>
    <w:qFormat/>
    <w:rPr>
      <w:rFonts w:cs="Courier New"/>
    </w:rPr>
  </w:style>
  <w:style w:type="character" w:styleId="ListLabel1117">
    <w:name w:val="ListLabel 1117"/>
    <w:qFormat/>
    <w:rPr>
      <w:rFonts w:cs="Wingdings"/>
    </w:rPr>
  </w:style>
  <w:style w:type="character" w:styleId="ListLabel1118">
    <w:name w:val="ListLabel 1118"/>
    <w:qFormat/>
    <w:rPr>
      <w:rFonts w:cs="Symbol"/>
    </w:rPr>
  </w:style>
  <w:style w:type="character" w:styleId="ListLabel1119">
    <w:name w:val="ListLabel 1119"/>
    <w:qFormat/>
    <w:rPr>
      <w:rFonts w:cs="Courier New"/>
    </w:rPr>
  </w:style>
  <w:style w:type="character" w:styleId="ListLabel1120">
    <w:name w:val="ListLabel 1120"/>
    <w:qFormat/>
    <w:rPr>
      <w:rFonts w:cs="Wingdings"/>
    </w:rPr>
  </w:style>
  <w:style w:type="character" w:styleId="ListLabel1121">
    <w:name w:val="ListLabel 1121"/>
    <w:qFormat/>
    <w:rPr>
      <w:rFonts w:cs="Symbol"/>
    </w:rPr>
  </w:style>
  <w:style w:type="character" w:styleId="ListLabel1122">
    <w:name w:val="ListLabel 1122"/>
    <w:qFormat/>
    <w:rPr>
      <w:rFonts w:cs="Courier New"/>
    </w:rPr>
  </w:style>
  <w:style w:type="character" w:styleId="ListLabel1123">
    <w:name w:val="ListLabel 1123"/>
    <w:qFormat/>
    <w:rPr>
      <w:rFonts w:cs="Wingdings"/>
    </w:rPr>
  </w:style>
  <w:style w:type="character" w:styleId="ListLabel1124">
    <w:name w:val="ListLabel 1124"/>
    <w:qFormat/>
    <w:rPr>
      <w:rFonts w:ascii="Arial" w:hAnsi="Arial" w:cs="Symbol"/>
      <w:sz w:val="24"/>
    </w:rPr>
  </w:style>
  <w:style w:type="character" w:styleId="ListLabel1125">
    <w:name w:val="ListLabel 1125"/>
    <w:qFormat/>
    <w:rPr>
      <w:rFonts w:cs="Courier New"/>
    </w:rPr>
  </w:style>
  <w:style w:type="character" w:styleId="ListLabel1126">
    <w:name w:val="ListLabel 1126"/>
    <w:qFormat/>
    <w:rPr>
      <w:rFonts w:cs="Wingdings"/>
    </w:rPr>
  </w:style>
  <w:style w:type="character" w:styleId="ListLabel1127">
    <w:name w:val="ListLabel 1127"/>
    <w:qFormat/>
    <w:rPr>
      <w:rFonts w:cs="Symbol"/>
    </w:rPr>
  </w:style>
  <w:style w:type="character" w:styleId="ListLabel1128">
    <w:name w:val="ListLabel 1128"/>
    <w:qFormat/>
    <w:rPr>
      <w:rFonts w:cs="Courier New"/>
    </w:rPr>
  </w:style>
  <w:style w:type="character" w:styleId="ListLabel1129">
    <w:name w:val="ListLabel 1129"/>
    <w:qFormat/>
    <w:rPr>
      <w:rFonts w:cs="Wingdings"/>
    </w:rPr>
  </w:style>
  <w:style w:type="character" w:styleId="ListLabel1130">
    <w:name w:val="ListLabel 1130"/>
    <w:qFormat/>
    <w:rPr>
      <w:rFonts w:cs="Symbol"/>
    </w:rPr>
  </w:style>
  <w:style w:type="character" w:styleId="ListLabel1131">
    <w:name w:val="ListLabel 1131"/>
    <w:qFormat/>
    <w:rPr>
      <w:rFonts w:cs="Courier New"/>
    </w:rPr>
  </w:style>
  <w:style w:type="character" w:styleId="ListLabel1132">
    <w:name w:val="ListLabel 1132"/>
    <w:qFormat/>
    <w:rPr>
      <w:rFonts w:cs="Wingdings"/>
    </w:rPr>
  </w:style>
  <w:style w:type="character" w:styleId="ListLabel1133">
    <w:name w:val="ListLabel 1133"/>
    <w:qFormat/>
    <w:rPr>
      <w:rFonts w:ascii="Arial" w:hAnsi="Arial" w:cs="Symbol"/>
      <w:b/>
      <w:sz w:val="24"/>
    </w:rPr>
  </w:style>
  <w:style w:type="character" w:styleId="ListLabel1134">
    <w:name w:val="ListLabel 1134"/>
    <w:qFormat/>
    <w:rPr>
      <w:rFonts w:cs="Courier New"/>
    </w:rPr>
  </w:style>
  <w:style w:type="character" w:styleId="ListLabel1135">
    <w:name w:val="ListLabel 1135"/>
    <w:qFormat/>
    <w:rPr>
      <w:rFonts w:cs="Wingdings"/>
    </w:rPr>
  </w:style>
  <w:style w:type="character" w:styleId="ListLabel1136">
    <w:name w:val="ListLabel 1136"/>
    <w:qFormat/>
    <w:rPr>
      <w:rFonts w:cs="Symbol"/>
    </w:rPr>
  </w:style>
  <w:style w:type="character" w:styleId="ListLabel1137">
    <w:name w:val="ListLabel 1137"/>
    <w:qFormat/>
    <w:rPr>
      <w:rFonts w:cs="Courier New"/>
    </w:rPr>
  </w:style>
  <w:style w:type="character" w:styleId="ListLabel1138">
    <w:name w:val="ListLabel 1138"/>
    <w:qFormat/>
    <w:rPr>
      <w:rFonts w:cs="Wingdings"/>
    </w:rPr>
  </w:style>
  <w:style w:type="character" w:styleId="ListLabel1139">
    <w:name w:val="ListLabel 1139"/>
    <w:qFormat/>
    <w:rPr>
      <w:rFonts w:cs="Symbol"/>
    </w:rPr>
  </w:style>
  <w:style w:type="character" w:styleId="ListLabel1140">
    <w:name w:val="ListLabel 1140"/>
    <w:qFormat/>
    <w:rPr>
      <w:rFonts w:cs="Courier New"/>
    </w:rPr>
  </w:style>
  <w:style w:type="character" w:styleId="ListLabel1141">
    <w:name w:val="ListLabel 1141"/>
    <w:qFormat/>
    <w:rPr>
      <w:rFonts w:cs="Wingdings"/>
    </w:rPr>
  </w:style>
  <w:style w:type="character" w:styleId="ListLabel1142">
    <w:name w:val="ListLabel 1142"/>
    <w:qFormat/>
    <w:rPr>
      <w:rFonts w:ascii="Arial" w:hAnsi="Arial" w:cs="Symbol"/>
      <w:sz w:val="24"/>
    </w:rPr>
  </w:style>
  <w:style w:type="character" w:styleId="ListLabel1143">
    <w:name w:val="ListLabel 1143"/>
    <w:qFormat/>
    <w:rPr>
      <w:rFonts w:cs="Courier New"/>
    </w:rPr>
  </w:style>
  <w:style w:type="character" w:styleId="ListLabel1144">
    <w:name w:val="ListLabel 1144"/>
    <w:qFormat/>
    <w:rPr>
      <w:rFonts w:cs="Wingdings"/>
    </w:rPr>
  </w:style>
  <w:style w:type="character" w:styleId="ListLabel1145">
    <w:name w:val="ListLabel 1145"/>
    <w:qFormat/>
    <w:rPr>
      <w:rFonts w:cs="Symbol"/>
    </w:rPr>
  </w:style>
  <w:style w:type="character" w:styleId="ListLabel1146">
    <w:name w:val="ListLabel 1146"/>
    <w:qFormat/>
    <w:rPr>
      <w:rFonts w:cs="Courier New"/>
    </w:rPr>
  </w:style>
  <w:style w:type="character" w:styleId="ListLabel1147">
    <w:name w:val="ListLabel 1147"/>
    <w:qFormat/>
    <w:rPr>
      <w:rFonts w:cs="Wingdings"/>
    </w:rPr>
  </w:style>
  <w:style w:type="character" w:styleId="ListLabel1148">
    <w:name w:val="ListLabel 1148"/>
    <w:qFormat/>
    <w:rPr>
      <w:rFonts w:cs="Symbol"/>
    </w:rPr>
  </w:style>
  <w:style w:type="character" w:styleId="ListLabel1149">
    <w:name w:val="ListLabel 1149"/>
    <w:qFormat/>
    <w:rPr>
      <w:rFonts w:cs="Courier New"/>
    </w:rPr>
  </w:style>
  <w:style w:type="character" w:styleId="ListLabel1150">
    <w:name w:val="ListLabel 1150"/>
    <w:qFormat/>
    <w:rPr>
      <w:rFonts w:cs="Wingdings"/>
    </w:rPr>
  </w:style>
  <w:style w:type="character" w:styleId="ListLabel1151">
    <w:name w:val="ListLabel 1151"/>
    <w:qFormat/>
    <w:rPr>
      <w:rFonts w:ascii="Arial" w:hAnsi="Arial" w:cs="Symbol"/>
      <w:sz w:val="24"/>
    </w:rPr>
  </w:style>
  <w:style w:type="character" w:styleId="ListLabel1152">
    <w:name w:val="ListLabel 1152"/>
    <w:qFormat/>
    <w:rPr>
      <w:rFonts w:cs="Courier New"/>
    </w:rPr>
  </w:style>
  <w:style w:type="character" w:styleId="ListLabel1153">
    <w:name w:val="ListLabel 1153"/>
    <w:qFormat/>
    <w:rPr>
      <w:rFonts w:cs="Wingdings"/>
    </w:rPr>
  </w:style>
  <w:style w:type="character" w:styleId="ListLabel1154">
    <w:name w:val="ListLabel 1154"/>
    <w:qFormat/>
    <w:rPr>
      <w:rFonts w:cs="Symbol"/>
    </w:rPr>
  </w:style>
  <w:style w:type="character" w:styleId="ListLabel1155">
    <w:name w:val="ListLabel 1155"/>
    <w:qFormat/>
    <w:rPr>
      <w:rFonts w:cs="Courier New"/>
    </w:rPr>
  </w:style>
  <w:style w:type="character" w:styleId="ListLabel1156">
    <w:name w:val="ListLabel 1156"/>
    <w:qFormat/>
    <w:rPr>
      <w:rFonts w:cs="Wingdings"/>
    </w:rPr>
  </w:style>
  <w:style w:type="character" w:styleId="ListLabel1157">
    <w:name w:val="ListLabel 1157"/>
    <w:qFormat/>
    <w:rPr>
      <w:rFonts w:cs="Symbol"/>
    </w:rPr>
  </w:style>
  <w:style w:type="character" w:styleId="ListLabel1158">
    <w:name w:val="ListLabel 1158"/>
    <w:qFormat/>
    <w:rPr>
      <w:rFonts w:cs="Courier New"/>
    </w:rPr>
  </w:style>
  <w:style w:type="character" w:styleId="ListLabel1159">
    <w:name w:val="ListLabel 1159"/>
    <w:qFormat/>
    <w:rPr>
      <w:rFonts w:cs="Wingdings"/>
    </w:rPr>
  </w:style>
  <w:style w:type="character" w:styleId="ListLabel1160">
    <w:name w:val="ListLabel 1160"/>
    <w:qFormat/>
    <w:rPr>
      <w:rFonts w:ascii="Arial" w:hAnsi="Arial" w:cs="Symbol"/>
      <w:sz w:val="24"/>
    </w:rPr>
  </w:style>
  <w:style w:type="character" w:styleId="ListLabel1161">
    <w:name w:val="ListLabel 1161"/>
    <w:qFormat/>
    <w:rPr>
      <w:rFonts w:cs="Courier New"/>
    </w:rPr>
  </w:style>
  <w:style w:type="character" w:styleId="ListLabel1162">
    <w:name w:val="ListLabel 1162"/>
    <w:qFormat/>
    <w:rPr>
      <w:rFonts w:cs="Wingdings"/>
    </w:rPr>
  </w:style>
  <w:style w:type="character" w:styleId="ListLabel1163">
    <w:name w:val="ListLabel 1163"/>
    <w:qFormat/>
    <w:rPr>
      <w:rFonts w:cs="Symbol"/>
    </w:rPr>
  </w:style>
  <w:style w:type="character" w:styleId="ListLabel1164">
    <w:name w:val="ListLabel 1164"/>
    <w:qFormat/>
    <w:rPr>
      <w:rFonts w:cs="Courier New"/>
    </w:rPr>
  </w:style>
  <w:style w:type="character" w:styleId="ListLabel1165">
    <w:name w:val="ListLabel 1165"/>
    <w:qFormat/>
    <w:rPr>
      <w:rFonts w:cs="Wingdings"/>
    </w:rPr>
  </w:style>
  <w:style w:type="character" w:styleId="ListLabel1166">
    <w:name w:val="ListLabel 1166"/>
    <w:qFormat/>
    <w:rPr>
      <w:rFonts w:cs="Symbol"/>
    </w:rPr>
  </w:style>
  <w:style w:type="character" w:styleId="ListLabel1167">
    <w:name w:val="ListLabel 1167"/>
    <w:qFormat/>
    <w:rPr>
      <w:rFonts w:cs="Courier New"/>
    </w:rPr>
  </w:style>
  <w:style w:type="character" w:styleId="ListLabel1168">
    <w:name w:val="ListLabel 1168"/>
    <w:qFormat/>
    <w:rPr>
      <w:rFonts w:cs="Wingdings"/>
    </w:rPr>
  </w:style>
  <w:style w:type="character" w:styleId="ListLabel1169">
    <w:name w:val="ListLabel 1169"/>
    <w:qFormat/>
    <w:rPr>
      <w:rFonts w:ascii="Arial" w:hAnsi="Arial" w:cs="Symbol"/>
      <w:b/>
      <w:sz w:val="24"/>
    </w:rPr>
  </w:style>
  <w:style w:type="character" w:styleId="ListLabel1170">
    <w:name w:val="ListLabel 1170"/>
    <w:qFormat/>
    <w:rPr>
      <w:rFonts w:ascii="Arial" w:hAnsi="Arial" w:cs="Courier New"/>
      <w:b/>
      <w:sz w:val="24"/>
    </w:rPr>
  </w:style>
  <w:style w:type="character" w:styleId="ListLabel1171">
    <w:name w:val="ListLabel 1171"/>
    <w:qFormat/>
    <w:rPr>
      <w:rFonts w:cs="Wingdings"/>
    </w:rPr>
  </w:style>
  <w:style w:type="character" w:styleId="ListLabel1172">
    <w:name w:val="ListLabel 1172"/>
    <w:qFormat/>
    <w:rPr>
      <w:rFonts w:ascii="Arial" w:hAnsi="Arial" w:cs="Symbol"/>
      <w:b/>
      <w:sz w:val="24"/>
    </w:rPr>
  </w:style>
  <w:style w:type="character" w:styleId="ListLabel1173">
    <w:name w:val="ListLabel 1173"/>
    <w:qFormat/>
    <w:rPr>
      <w:rFonts w:cs="Courier New"/>
    </w:rPr>
  </w:style>
  <w:style w:type="character" w:styleId="ListLabel1174">
    <w:name w:val="ListLabel 1174"/>
    <w:qFormat/>
    <w:rPr>
      <w:rFonts w:cs="Wingdings"/>
    </w:rPr>
  </w:style>
  <w:style w:type="character" w:styleId="ListLabel1175">
    <w:name w:val="ListLabel 1175"/>
    <w:qFormat/>
    <w:rPr>
      <w:rFonts w:cs="Symbol"/>
    </w:rPr>
  </w:style>
  <w:style w:type="character" w:styleId="ListLabel1176">
    <w:name w:val="ListLabel 1176"/>
    <w:qFormat/>
    <w:rPr>
      <w:rFonts w:cs="Courier New"/>
    </w:rPr>
  </w:style>
  <w:style w:type="character" w:styleId="ListLabel1177">
    <w:name w:val="ListLabel 1177"/>
    <w:qFormat/>
    <w:rPr>
      <w:rFonts w:cs="Wingdings"/>
    </w:rPr>
  </w:style>
  <w:style w:type="character" w:styleId="ListLabel1178">
    <w:name w:val="ListLabel 1178"/>
    <w:qFormat/>
    <w:rPr>
      <w:rFonts w:ascii="Arial" w:hAnsi="Arial" w:cs="Symbol"/>
      <w:b/>
      <w:sz w:val="24"/>
    </w:rPr>
  </w:style>
  <w:style w:type="character" w:styleId="ListLabel1179">
    <w:name w:val="ListLabel 1179"/>
    <w:qFormat/>
    <w:rPr>
      <w:rFonts w:ascii="Arial" w:hAnsi="Arial" w:cs="Courier New"/>
      <w:b/>
      <w:sz w:val="24"/>
    </w:rPr>
  </w:style>
  <w:style w:type="character" w:styleId="ListLabel1180">
    <w:name w:val="ListLabel 1180"/>
    <w:qFormat/>
    <w:rPr>
      <w:rFonts w:cs="Wingdings"/>
    </w:rPr>
  </w:style>
  <w:style w:type="character" w:styleId="ListLabel1181">
    <w:name w:val="ListLabel 1181"/>
    <w:qFormat/>
    <w:rPr>
      <w:rFonts w:cs="Symbol"/>
    </w:rPr>
  </w:style>
  <w:style w:type="character" w:styleId="ListLabel1182">
    <w:name w:val="ListLabel 1182"/>
    <w:qFormat/>
    <w:rPr>
      <w:rFonts w:cs="Courier New"/>
    </w:rPr>
  </w:style>
  <w:style w:type="character" w:styleId="ListLabel1183">
    <w:name w:val="ListLabel 1183"/>
    <w:qFormat/>
    <w:rPr>
      <w:rFonts w:cs="Wingdings"/>
    </w:rPr>
  </w:style>
  <w:style w:type="character" w:styleId="ListLabel1184">
    <w:name w:val="ListLabel 1184"/>
    <w:qFormat/>
    <w:rPr>
      <w:rFonts w:cs="Symbol"/>
    </w:rPr>
  </w:style>
  <w:style w:type="character" w:styleId="ListLabel1185">
    <w:name w:val="ListLabel 1185"/>
    <w:qFormat/>
    <w:rPr>
      <w:rFonts w:cs="Courier New"/>
    </w:rPr>
  </w:style>
  <w:style w:type="character" w:styleId="ListLabel1186">
    <w:name w:val="ListLabel 1186"/>
    <w:qFormat/>
    <w:rPr>
      <w:rFonts w:cs="Wingdings"/>
    </w:rPr>
  </w:style>
  <w:style w:type="character" w:styleId="ListLabel1187">
    <w:name w:val="ListLabel 1187"/>
    <w:qFormat/>
    <w:rPr>
      <w:rFonts w:ascii="Arial" w:hAnsi="Arial" w:cs="Symbol"/>
      <w:b/>
      <w:sz w:val="24"/>
    </w:rPr>
  </w:style>
  <w:style w:type="character" w:styleId="ListLabel1188">
    <w:name w:val="ListLabel 1188"/>
    <w:qFormat/>
    <w:rPr>
      <w:rFonts w:cs="Courier New"/>
    </w:rPr>
  </w:style>
  <w:style w:type="character" w:styleId="ListLabel1189">
    <w:name w:val="ListLabel 1189"/>
    <w:qFormat/>
    <w:rPr>
      <w:rFonts w:cs="Wingdings"/>
    </w:rPr>
  </w:style>
  <w:style w:type="character" w:styleId="ListLabel1190">
    <w:name w:val="ListLabel 1190"/>
    <w:qFormat/>
    <w:rPr>
      <w:rFonts w:cs="Symbol"/>
    </w:rPr>
  </w:style>
  <w:style w:type="character" w:styleId="ListLabel1191">
    <w:name w:val="ListLabel 1191"/>
    <w:qFormat/>
    <w:rPr>
      <w:rFonts w:cs="Courier New"/>
    </w:rPr>
  </w:style>
  <w:style w:type="character" w:styleId="ListLabel1192">
    <w:name w:val="ListLabel 1192"/>
    <w:qFormat/>
    <w:rPr>
      <w:rFonts w:cs="Wingdings"/>
    </w:rPr>
  </w:style>
  <w:style w:type="character" w:styleId="ListLabel1193">
    <w:name w:val="ListLabel 1193"/>
    <w:qFormat/>
    <w:rPr>
      <w:rFonts w:cs="Symbol"/>
    </w:rPr>
  </w:style>
  <w:style w:type="character" w:styleId="ListLabel1194">
    <w:name w:val="ListLabel 1194"/>
    <w:qFormat/>
    <w:rPr>
      <w:rFonts w:cs="Courier New"/>
    </w:rPr>
  </w:style>
  <w:style w:type="character" w:styleId="ListLabel1195">
    <w:name w:val="ListLabel 1195"/>
    <w:qFormat/>
    <w:rPr>
      <w:rFonts w:cs="Wingdings"/>
    </w:rPr>
  </w:style>
  <w:style w:type="character" w:styleId="ListLabel1196">
    <w:name w:val="ListLabel 1196"/>
    <w:qFormat/>
    <w:rPr>
      <w:rFonts w:ascii="Arial" w:hAnsi="Arial" w:cs="Symbol"/>
      <w:b/>
      <w:sz w:val="24"/>
    </w:rPr>
  </w:style>
  <w:style w:type="character" w:styleId="ListLabel1197">
    <w:name w:val="ListLabel 1197"/>
    <w:qFormat/>
    <w:rPr>
      <w:rFonts w:cs="Courier New"/>
    </w:rPr>
  </w:style>
  <w:style w:type="character" w:styleId="ListLabel1198">
    <w:name w:val="ListLabel 1198"/>
    <w:qFormat/>
    <w:rPr>
      <w:rFonts w:cs="Wingdings"/>
    </w:rPr>
  </w:style>
  <w:style w:type="character" w:styleId="ListLabel1199">
    <w:name w:val="ListLabel 1199"/>
    <w:qFormat/>
    <w:rPr>
      <w:rFonts w:cs="Symbol"/>
    </w:rPr>
  </w:style>
  <w:style w:type="character" w:styleId="ListLabel1200">
    <w:name w:val="ListLabel 1200"/>
    <w:qFormat/>
    <w:rPr>
      <w:rFonts w:cs="Courier New"/>
    </w:rPr>
  </w:style>
  <w:style w:type="character" w:styleId="ListLabel1201">
    <w:name w:val="ListLabel 1201"/>
    <w:qFormat/>
    <w:rPr>
      <w:rFonts w:cs="Wingdings"/>
    </w:rPr>
  </w:style>
  <w:style w:type="character" w:styleId="ListLabel1202">
    <w:name w:val="ListLabel 1202"/>
    <w:qFormat/>
    <w:rPr>
      <w:rFonts w:cs="Symbol"/>
    </w:rPr>
  </w:style>
  <w:style w:type="character" w:styleId="ListLabel1203">
    <w:name w:val="ListLabel 1203"/>
    <w:qFormat/>
    <w:rPr>
      <w:rFonts w:cs="Courier New"/>
    </w:rPr>
  </w:style>
  <w:style w:type="character" w:styleId="ListLabel1204">
    <w:name w:val="ListLabel 1204"/>
    <w:qFormat/>
    <w:rPr>
      <w:rFonts w:cs="Wingdings"/>
    </w:rPr>
  </w:style>
  <w:style w:type="character" w:styleId="ListLabel1205">
    <w:name w:val="ListLabel 1205"/>
    <w:qFormat/>
    <w:rPr>
      <w:rFonts w:ascii="Arial" w:hAnsi="Arial" w:cs="Symbol"/>
      <w:b/>
      <w:sz w:val="24"/>
    </w:rPr>
  </w:style>
  <w:style w:type="character" w:styleId="ListLabel1206">
    <w:name w:val="ListLabel 1206"/>
    <w:qFormat/>
    <w:rPr>
      <w:rFonts w:cs="Courier New"/>
    </w:rPr>
  </w:style>
  <w:style w:type="character" w:styleId="ListLabel1207">
    <w:name w:val="ListLabel 1207"/>
    <w:qFormat/>
    <w:rPr>
      <w:rFonts w:cs="Wingdings"/>
    </w:rPr>
  </w:style>
  <w:style w:type="character" w:styleId="ListLabel1208">
    <w:name w:val="ListLabel 1208"/>
    <w:qFormat/>
    <w:rPr>
      <w:rFonts w:cs="Symbol"/>
    </w:rPr>
  </w:style>
  <w:style w:type="character" w:styleId="ListLabel1209">
    <w:name w:val="ListLabel 1209"/>
    <w:qFormat/>
    <w:rPr>
      <w:rFonts w:cs="Courier New"/>
    </w:rPr>
  </w:style>
  <w:style w:type="character" w:styleId="ListLabel1210">
    <w:name w:val="ListLabel 1210"/>
    <w:qFormat/>
    <w:rPr>
      <w:rFonts w:cs="Wingdings"/>
    </w:rPr>
  </w:style>
  <w:style w:type="character" w:styleId="ListLabel1211">
    <w:name w:val="ListLabel 1211"/>
    <w:qFormat/>
    <w:rPr>
      <w:rFonts w:cs="Symbol"/>
    </w:rPr>
  </w:style>
  <w:style w:type="character" w:styleId="ListLabel1212">
    <w:name w:val="ListLabel 1212"/>
    <w:qFormat/>
    <w:rPr>
      <w:rFonts w:cs="Courier New"/>
    </w:rPr>
  </w:style>
  <w:style w:type="character" w:styleId="ListLabel1213">
    <w:name w:val="ListLabel 1213"/>
    <w:qFormat/>
    <w:rPr>
      <w:rFonts w:cs="Wingdings"/>
    </w:rPr>
  </w:style>
  <w:style w:type="character" w:styleId="ListLabel1214">
    <w:name w:val="ListLabel 1214"/>
    <w:qFormat/>
    <w:rPr>
      <w:rFonts w:ascii="Arial" w:hAnsi="Arial" w:eastAsia="SimSun" w:cs="Arial"/>
      <w:b/>
      <w:sz w:val="24"/>
    </w:rPr>
  </w:style>
  <w:style w:type="character" w:styleId="ListLabel1215">
    <w:name w:val="ListLabel 1215"/>
    <w:qFormat/>
    <w:rPr>
      <w:rFonts w:ascii="Arial" w:hAnsi="Arial" w:eastAsia="Times New Roman" w:cs="Arial"/>
      <w:sz w:val="24"/>
    </w:rPr>
  </w:style>
  <w:style w:type="character" w:styleId="ListLabel1216">
    <w:name w:val="ListLabel 1216"/>
    <w:qFormat/>
    <w:rPr>
      <w:rFonts w:ascii="Arial" w:hAnsi="Arial" w:eastAsia="Times New Roman" w:cs="Arial"/>
      <w:sz w:val="24"/>
    </w:rPr>
  </w:style>
  <w:style w:type="character" w:styleId="ListLabel1217">
    <w:name w:val="ListLabel 1217"/>
    <w:qFormat/>
    <w:rPr>
      <w:rFonts w:ascii="Arial" w:hAnsi="Arial" w:eastAsia="Times New Roman" w:cs="Arial"/>
      <w:sz w:val="24"/>
    </w:rPr>
  </w:style>
  <w:style w:type="character" w:styleId="ListLabel1218">
    <w:name w:val="ListLabel 1218"/>
    <w:qFormat/>
    <w:rPr>
      <w:rFonts w:ascii="Arial" w:hAnsi="Arial" w:cs="Symbol"/>
      <w:sz w:val="24"/>
    </w:rPr>
  </w:style>
  <w:style w:type="character" w:styleId="ListLabel1219">
    <w:name w:val="ListLabel 1219"/>
    <w:qFormat/>
    <w:rPr>
      <w:rFonts w:cs="Courier New"/>
    </w:rPr>
  </w:style>
  <w:style w:type="character" w:styleId="ListLabel1220">
    <w:name w:val="ListLabel 1220"/>
    <w:qFormat/>
    <w:rPr>
      <w:rFonts w:cs="Wingdings"/>
    </w:rPr>
  </w:style>
  <w:style w:type="character" w:styleId="ListLabel1221">
    <w:name w:val="ListLabel 1221"/>
    <w:qFormat/>
    <w:rPr>
      <w:rFonts w:cs="Symbol"/>
    </w:rPr>
  </w:style>
  <w:style w:type="character" w:styleId="ListLabel1222">
    <w:name w:val="ListLabel 1222"/>
    <w:qFormat/>
    <w:rPr>
      <w:rFonts w:cs="Courier New"/>
    </w:rPr>
  </w:style>
  <w:style w:type="character" w:styleId="ListLabel1223">
    <w:name w:val="ListLabel 1223"/>
    <w:qFormat/>
    <w:rPr>
      <w:rFonts w:cs="Wingdings"/>
    </w:rPr>
  </w:style>
  <w:style w:type="character" w:styleId="ListLabel1224">
    <w:name w:val="ListLabel 1224"/>
    <w:qFormat/>
    <w:rPr>
      <w:rFonts w:cs="Symbol"/>
    </w:rPr>
  </w:style>
  <w:style w:type="character" w:styleId="ListLabel1225">
    <w:name w:val="ListLabel 1225"/>
    <w:qFormat/>
    <w:rPr>
      <w:rFonts w:cs="Courier New"/>
    </w:rPr>
  </w:style>
  <w:style w:type="character" w:styleId="ListLabel1226">
    <w:name w:val="ListLabel 1226"/>
    <w:qFormat/>
    <w:rPr>
      <w:rFonts w:cs="Wingdings"/>
    </w:rPr>
  </w:style>
  <w:style w:type="character" w:styleId="ListLabel1227">
    <w:name w:val="ListLabel 1227"/>
    <w:qFormat/>
    <w:rPr>
      <w:rFonts w:ascii="Arial" w:hAnsi="Arial" w:eastAsia="Times New Roman" w:cs="Arial"/>
      <w:sz w:val="24"/>
    </w:rPr>
  </w:style>
  <w:style w:type="character" w:styleId="ListLabel1228">
    <w:name w:val="ListLabel 1228"/>
    <w:qFormat/>
    <w:rPr>
      <w:rFonts w:ascii="Arial" w:hAnsi="Arial" w:eastAsia="Times New Roman" w:cs="Arial"/>
      <w:sz w:val="24"/>
    </w:rPr>
  </w:style>
  <w:style w:type="character" w:styleId="ListLabel1229">
    <w:name w:val="ListLabel 1229"/>
    <w:qFormat/>
    <w:rPr>
      <w:rFonts w:ascii="Arial" w:hAnsi="Arial" w:eastAsia="Times New Roman" w:cs="Arial"/>
      <w:sz w:val="24"/>
    </w:rPr>
  </w:style>
  <w:style w:type="character" w:styleId="ListLabel1230">
    <w:name w:val="ListLabel 1230"/>
    <w:qFormat/>
    <w:rPr>
      <w:rFonts w:ascii="Arial" w:hAnsi="Arial" w:eastAsia="Times New Roman" w:cs="Arial"/>
      <w:sz w:val="24"/>
    </w:rPr>
  </w:style>
  <w:style w:type="character" w:styleId="ListLabel1231">
    <w:name w:val="ListLabel 1231"/>
    <w:qFormat/>
    <w:rPr>
      <w:rFonts w:ascii="Arial" w:hAnsi="Arial" w:cs="Arial"/>
      <w:sz w:val="24"/>
    </w:rPr>
  </w:style>
  <w:style w:type="character" w:styleId="ListLabel1232">
    <w:name w:val="ListLabel 1232"/>
    <w:qFormat/>
    <w:rPr>
      <w:rFonts w:ascii="Arial" w:hAnsi="Arial" w:eastAsia="Times New Roman" w:cs="Arial"/>
      <w:sz w:val="24"/>
    </w:rPr>
  </w:style>
  <w:style w:type="character" w:styleId="ListLabel1233">
    <w:name w:val="ListLabel 1233"/>
    <w:qFormat/>
    <w:rPr>
      <w:rFonts w:ascii="Arial" w:hAnsi="Arial" w:eastAsia="Times New Roman" w:cs="Arial"/>
      <w:sz w:val="24"/>
    </w:rPr>
  </w:style>
  <w:style w:type="character" w:styleId="ListLabel1234">
    <w:name w:val="ListLabel 1234"/>
    <w:qFormat/>
    <w:rPr>
      <w:rFonts w:ascii="Arial" w:hAnsi="Arial" w:eastAsia="Times New Roman" w:cs="Arial"/>
      <w:sz w:val="24"/>
    </w:rPr>
  </w:style>
  <w:style w:type="character" w:styleId="ListLabel1235">
    <w:name w:val="ListLabel 1235"/>
    <w:qFormat/>
    <w:rPr>
      <w:rFonts w:ascii="Arial" w:hAnsi="Arial" w:eastAsia="Times New Roman" w:cs="Arial"/>
      <w:sz w:val="24"/>
    </w:rPr>
  </w:style>
  <w:style w:type="character" w:styleId="ListLabel1236">
    <w:name w:val="ListLabel 1236"/>
    <w:qFormat/>
    <w:rPr>
      <w:rFonts w:ascii="Arial" w:hAnsi="Arial" w:eastAsia="Times New Roman" w:cs="Arial"/>
      <w:sz w:val="24"/>
    </w:rPr>
  </w:style>
  <w:style w:type="character" w:styleId="ListLabel1237">
    <w:name w:val="ListLabel 1237"/>
    <w:qFormat/>
    <w:rPr>
      <w:rFonts w:ascii="Arial" w:hAnsi="Arial" w:eastAsia="Times New Roman" w:cs="Arial"/>
      <w:sz w:val="24"/>
    </w:rPr>
  </w:style>
  <w:style w:type="character" w:styleId="ListLabel1238">
    <w:name w:val="ListLabel 1238"/>
    <w:qFormat/>
    <w:rPr>
      <w:rFonts w:ascii="Arial" w:hAnsi="Arial" w:cs="Symbol"/>
      <w:b/>
      <w:sz w:val="24"/>
    </w:rPr>
  </w:style>
  <w:style w:type="character" w:styleId="ListLabel1239">
    <w:name w:val="ListLabel 1239"/>
    <w:qFormat/>
    <w:rPr>
      <w:rFonts w:cs="Courier New"/>
    </w:rPr>
  </w:style>
  <w:style w:type="character" w:styleId="ListLabel1240">
    <w:name w:val="ListLabel 1240"/>
    <w:qFormat/>
    <w:rPr>
      <w:rFonts w:cs="Wingdings"/>
    </w:rPr>
  </w:style>
  <w:style w:type="character" w:styleId="ListLabel1241">
    <w:name w:val="ListLabel 1241"/>
    <w:qFormat/>
    <w:rPr>
      <w:rFonts w:cs="Symbol"/>
    </w:rPr>
  </w:style>
  <w:style w:type="character" w:styleId="ListLabel1242">
    <w:name w:val="ListLabel 1242"/>
    <w:qFormat/>
    <w:rPr>
      <w:rFonts w:cs="Courier New"/>
    </w:rPr>
  </w:style>
  <w:style w:type="character" w:styleId="ListLabel1243">
    <w:name w:val="ListLabel 1243"/>
    <w:qFormat/>
    <w:rPr>
      <w:rFonts w:cs="Wingdings"/>
    </w:rPr>
  </w:style>
  <w:style w:type="character" w:styleId="ListLabel1244">
    <w:name w:val="ListLabel 1244"/>
    <w:qFormat/>
    <w:rPr>
      <w:rFonts w:cs="Symbol"/>
    </w:rPr>
  </w:style>
  <w:style w:type="character" w:styleId="ListLabel1245">
    <w:name w:val="ListLabel 1245"/>
    <w:qFormat/>
    <w:rPr>
      <w:rFonts w:cs="Courier New"/>
    </w:rPr>
  </w:style>
  <w:style w:type="character" w:styleId="ListLabel1246">
    <w:name w:val="ListLabel 1246"/>
    <w:qFormat/>
    <w:rPr>
      <w:rFonts w:cs="Wingdings"/>
    </w:rPr>
  </w:style>
  <w:style w:type="character" w:styleId="ListLabel1247">
    <w:name w:val="ListLabel 1247"/>
    <w:qFormat/>
    <w:rPr>
      <w:rFonts w:ascii="Arial" w:hAnsi="Arial" w:cs="Symbol"/>
      <w:b w:val="false"/>
      <w:color w:val="000000"/>
      <w:sz w:val="24"/>
      <w:szCs w:val="24"/>
      <w:highlight w:val="white"/>
      <w:lang w:val="en-US" w:eastAsia="en-US" w:bidi="hi-IN"/>
    </w:rPr>
  </w:style>
  <w:style w:type="character" w:styleId="ListLabel1248">
    <w:name w:val="ListLabel 1248"/>
    <w:qFormat/>
    <w:rPr>
      <w:rFonts w:ascii="Arial" w:hAnsi="Arial" w:eastAsia="SimSun" w:cs="Arial"/>
      <w:sz w:val="24"/>
      <w:szCs w:val="24"/>
      <w:lang w:bidi="hi-IN"/>
    </w:rPr>
  </w:style>
  <w:style w:type="character" w:styleId="ListLabel1249">
    <w:name w:val="ListLabel 1249"/>
    <w:qFormat/>
    <w:rPr>
      <w:rFonts w:ascii="Arial" w:hAnsi="Arial" w:eastAsia="SimSun" w:cs="Arial"/>
      <w:sz w:val="24"/>
      <w:szCs w:val="24"/>
      <w:lang w:bidi="hi-IN"/>
    </w:rPr>
  </w:style>
  <w:style w:type="character" w:styleId="ListLabel1250">
    <w:name w:val="ListLabel 1250"/>
    <w:qFormat/>
    <w:rPr>
      <w:rFonts w:ascii="Arial" w:hAnsi="Arial" w:eastAsia="SimSun" w:cs="Arial"/>
      <w:sz w:val="24"/>
    </w:rPr>
  </w:style>
  <w:style w:type="character" w:styleId="ListLabel1251">
    <w:name w:val="ListLabel 1251"/>
    <w:qFormat/>
    <w:rPr>
      <w:rFonts w:ascii="Arial" w:hAnsi="Arial" w:eastAsia="Times New Roman" w:cs="Arial"/>
      <w:sz w:val="24"/>
    </w:rPr>
  </w:style>
  <w:style w:type="character" w:styleId="ListLabel1252">
    <w:name w:val="ListLabel 1252"/>
    <w:qFormat/>
    <w:rPr>
      <w:rFonts w:cs="Arial"/>
      <w:b/>
      <w:sz w:val="24"/>
    </w:rPr>
  </w:style>
  <w:style w:type="character" w:styleId="ListLabel1253">
    <w:name w:val="ListLabel 1253"/>
    <w:qFormat/>
    <w:rPr>
      <w:rFonts w:ascii="Arial" w:hAnsi="Arial" w:cs="Symbol"/>
      <w:sz w:val="24"/>
    </w:rPr>
  </w:style>
  <w:style w:type="character" w:styleId="ListLabel1254">
    <w:name w:val="ListLabel 1254"/>
    <w:qFormat/>
    <w:rPr>
      <w:rFonts w:cs="Courier New"/>
    </w:rPr>
  </w:style>
  <w:style w:type="character" w:styleId="ListLabel1255">
    <w:name w:val="ListLabel 1255"/>
    <w:qFormat/>
    <w:rPr>
      <w:rFonts w:cs="Wingdings"/>
    </w:rPr>
  </w:style>
  <w:style w:type="character" w:styleId="ListLabel1256">
    <w:name w:val="ListLabel 1256"/>
    <w:qFormat/>
    <w:rPr>
      <w:rFonts w:cs="Symbol"/>
    </w:rPr>
  </w:style>
  <w:style w:type="character" w:styleId="ListLabel1257">
    <w:name w:val="ListLabel 1257"/>
    <w:qFormat/>
    <w:rPr>
      <w:rFonts w:cs="Courier New"/>
    </w:rPr>
  </w:style>
  <w:style w:type="character" w:styleId="ListLabel1258">
    <w:name w:val="ListLabel 1258"/>
    <w:qFormat/>
    <w:rPr>
      <w:rFonts w:cs="Wingdings"/>
    </w:rPr>
  </w:style>
  <w:style w:type="character" w:styleId="ListLabel1259">
    <w:name w:val="ListLabel 1259"/>
    <w:qFormat/>
    <w:rPr>
      <w:rFonts w:cs="Symbol"/>
    </w:rPr>
  </w:style>
  <w:style w:type="character" w:styleId="ListLabel1260">
    <w:name w:val="ListLabel 1260"/>
    <w:qFormat/>
    <w:rPr>
      <w:rFonts w:cs="Courier New"/>
    </w:rPr>
  </w:style>
  <w:style w:type="character" w:styleId="ListLabel1261">
    <w:name w:val="ListLabel 1261"/>
    <w:qFormat/>
    <w:rPr>
      <w:rFonts w:cs="Wingdings"/>
    </w:rPr>
  </w:style>
  <w:style w:type="character" w:styleId="ListLabel1262">
    <w:name w:val="ListLabel 1262"/>
    <w:qFormat/>
    <w:rPr>
      <w:rFonts w:ascii="Arial" w:hAnsi="Arial" w:cs="Symbol"/>
      <w:sz w:val="24"/>
    </w:rPr>
  </w:style>
  <w:style w:type="character" w:styleId="ListLabel1263">
    <w:name w:val="ListLabel 1263"/>
    <w:qFormat/>
    <w:rPr>
      <w:rFonts w:cs="Courier New"/>
    </w:rPr>
  </w:style>
  <w:style w:type="character" w:styleId="ListLabel1264">
    <w:name w:val="ListLabel 1264"/>
    <w:qFormat/>
    <w:rPr>
      <w:rFonts w:cs="Wingdings"/>
    </w:rPr>
  </w:style>
  <w:style w:type="character" w:styleId="ListLabel1265">
    <w:name w:val="ListLabel 1265"/>
    <w:qFormat/>
    <w:rPr>
      <w:rFonts w:cs="Symbol"/>
    </w:rPr>
  </w:style>
  <w:style w:type="character" w:styleId="ListLabel1266">
    <w:name w:val="ListLabel 1266"/>
    <w:qFormat/>
    <w:rPr>
      <w:rFonts w:cs="Courier New"/>
    </w:rPr>
  </w:style>
  <w:style w:type="character" w:styleId="ListLabel1267">
    <w:name w:val="ListLabel 1267"/>
    <w:qFormat/>
    <w:rPr>
      <w:rFonts w:cs="Wingdings"/>
    </w:rPr>
  </w:style>
  <w:style w:type="character" w:styleId="ListLabel1268">
    <w:name w:val="ListLabel 1268"/>
    <w:qFormat/>
    <w:rPr>
      <w:rFonts w:cs="Symbol"/>
    </w:rPr>
  </w:style>
  <w:style w:type="character" w:styleId="ListLabel1269">
    <w:name w:val="ListLabel 1269"/>
    <w:qFormat/>
    <w:rPr>
      <w:rFonts w:cs="Courier New"/>
    </w:rPr>
  </w:style>
  <w:style w:type="character" w:styleId="ListLabel1270">
    <w:name w:val="ListLabel 1270"/>
    <w:qFormat/>
    <w:rPr>
      <w:rFonts w:cs="Wingdings"/>
    </w:rPr>
  </w:style>
  <w:style w:type="character" w:styleId="ListLabel1271">
    <w:name w:val="ListLabel 1271"/>
    <w:qFormat/>
    <w:rPr>
      <w:rFonts w:ascii="Arial" w:hAnsi="Arial" w:cs="Symbol"/>
      <w:sz w:val="24"/>
    </w:rPr>
  </w:style>
  <w:style w:type="character" w:styleId="ListLabel1272">
    <w:name w:val="ListLabel 1272"/>
    <w:qFormat/>
    <w:rPr>
      <w:rFonts w:cs="Courier New"/>
    </w:rPr>
  </w:style>
  <w:style w:type="character" w:styleId="ListLabel1273">
    <w:name w:val="ListLabel 1273"/>
    <w:qFormat/>
    <w:rPr>
      <w:rFonts w:cs="Wingdings"/>
    </w:rPr>
  </w:style>
  <w:style w:type="character" w:styleId="ListLabel1274">
    <w:name w:val="ListLabel 1274"/>
    <w:qFormat/>
    <w:rPr>
      <w:rFonts w:cs="Symbol"/>
    </w:rPr>
  </w:style>
  <w:style w:type="character" w:styleId="ListLabel1275">
    <w:name w:val="ListLabel 1275"/>
    <w:qFormat/>
    <w:rPr>
      <w:rFonts w:cs="Courier New"/>
    </w:rPr>
  </w:style>
  <w:style w:type="character" w:styleId="ListLabel1276">
    <w:name w:val="ListLabel 1276"/>
    <w:qFormat/>
    <w:rPr>
      <w:rFonts w:cs="Wingdings"/>
    </w:rPr>
  </w:style>
  <w:style w:type="character" w:styleId="ListLabel1277">
    <w:name w:val="ListLabel 1277"/>
    <w:qFormat/>
    <w:rPr>
      <w:rFonts w:cs="Symbol"/>
    </w:rPr>
  </w:style>
  <w:style w:type="character" w:styleId="ListLabel1278">
    <w:name w:val="ListLabel 1278"/>
    <w:qFormat/>
    <w:rPr>
      <w:rFonts w:cs="Courier New"/>
    </w:rPr>
  </w:style>
  <w:style w:type="character" w:styleId="ListLabel1279">
    <w:name w:val="ListLabel 1279"/>
    <w:qFormat/>
    <w:rPr>
      <w:rFonts w:cs="Wingdings"/>
    </w:rPr>
  </w:style>
  <w:style w:type="character" w:styleId="ListLabel1280">
    <w:name w:val="ListLabel 1280"/>
    <w:qFormat/>
    <w:rPr>
      <w:rFonts w:ascii="Arial" w:hAnsi="Arial" w:cs="Symbol"/>
      <w:sz w:val="24"/>
    </w:rPr>
  </w:style>
  <w:style w:type="character" w:styleId="ListLabel1281">
    <w:name w:val="ListLabel 1281"/>
    <w:qFormat/>
    <w:rPr>
      <w:rFonts w:cs="Courier New"/>
    </w:rPr>
  </w:style>
  <w:style w:type="character" w:styleId="ListLabel1282">
    <w:name w:val="ListLabel 1282"/>
    <w:qFormat/>
    <w:rPr>
      <w:rFonts w:cs="Wingdings"/>
    </w:rPr>
  </w:style>
  <w:style w:type="character" w:styleId="ListLabel1283">
    <w:name w:val="ListLabel 1283"/>
    <w:qFormat/>
    <w:rPr>
      <w:rFonts w:cs="Symbol"/>
    </w:rPr>
  </w:style>
  <w:style w:type="character" w:styleId="ListLabel1284">
    <w:name w:val="ListLabel 1284"/>
    <w:qFormat/>
    <w:rPr>
      <w:rFonts w:cs="Courier New"/>
    </w:rPr>
  </w:style>
  <w:style w:type="character" w:styleId="ListLabel1285">
    <w:name w:val="ListLabel 1285"/>
    <w:qFormat/>
    <w:rPr>
      <w:rFonts w:cs="Wingdings"/>
    </w:rPr>
  </w:style>
  <w:style w:type="character" w:styleId="ListLabel1286">
    <w:name w:val="ListLabel 1286"/>
    <w:qFormat/>
    <w:rPr>
      <w:rFonts w:cs="Symbol"/>
    </w:rPr>
  </w:style>
  <w:style w:type="character" w:styleId="ListLabel1287">
    <w:name w:val="ListLabel 1287"/>
    <w:qFormat/>
    <w:rPr>
      <w:rFonts w:cs="Courier New"/>
    </w:rPr>
  </w:style>
  <w:style w:type="character" w:styleId="ListLabel1288">
    <w:name w:val="ListLabel 1288"/>
    <w:qFormat/>
    <w:rPr>
      <w:rFonts w:cs="Wingdings"/>
    </w:rPr>
  </w:style>
  <w:style w:type="character" w:styleId="ListLabel1289">
    <w:name w:val="ListLabel 1289"/>
    <w:qFormat/>
    <w:rPr>
      <w:rFonts w:ascii="Arial" w:hAnsi="Arial" w:cs="Symbol"/>
      <w:sz w:val="24"/>
    </w:rPr>
  </w:style>
  <w:style w:type="character" w:styleId="ListLabel1290">
    <w:name w:val="ListLabel 1290"/>
    <w:qFormat/>
    <w:rPr>
      <w:rFonts w:cs="Courier New"/>
    </w:rPr>
  </w:style>
  <w:style w:type="character" w:styleId="ListLabel1291">
    <w:name w:val="ListLabel 1291"/>
    <w:qFormat/>
    <w:rPr>
      <w:rFonts w:cs="Wingdings"/>
    </w:rPr>
  </w:style>
  <w:style w:type="character" w:styleId="ListLabel1292">
    <w:name w:val="ListLabel 1292"/>
    <w:qFormat/>
    <w:rPr>
      <w:rFonts w:cs="Symbol"/>
    </w:rPr>
  </w:style>
  <w:style w:type="character" w:styleId="ListLabel1293">
    <w:name w:val="ListLabel 1293"/>
    <w:qFormat/>
    <w:rPr>
      <w:rFonts w:cs="Courier New"/>
    </w:rPr>
  </w:style>
  <w:style w:type="character" w:styleId="ListLabel1294">
    <w:name w:val="ListLabel 1294"/>
    <w:qFormat/>
    <w:rPr>
      <w:rFonts w:cs="Wingdings"/>
    </w:rPr>
  </w:style>
  <w:style w:type="character" w:styleId="ListLabel1295">
    <w:name w:val="ListLabel 1295"/>
    <w:qFormat/>
    <w:rPr>
      <w:rFonts w:cs="Symbol"/>
    </w:rPr>
  </w:style>
  <w:style w:type="character" w:styleId="ListLabel1296">
    <w:name w:val="ListLabel 1296"/>
    <w:qFormat/>
    <w:rPr>
      <w:rFonts w:cs="Courier New"/>
    </w:rPr>
  </w:style>
  <w:style w:type="character" w:styleId="ListLabel1297">
    <w:name w:val="ListLabel 1297"/>
    <w:qFormat/>
    <w:rPr>
      <w:rFonts w:cs="Wingdings"/>
    </w:rPr>
  </w:style>
  <w:style w:type="character" w:styleId="ListLabel1298">
    <w:name w:val="ListLabel 1298"/>
    <w:qFormat/>
    <w:rPr>
      <w:rFonts w:ascii="Arial" w:hAnsi="Arial" w:cs="Symbol"/>
      <w:sz w:val="24"/>
    </w:rPr>
  </w:style>
  <w:style w:type="character" w:styleId="ListLabel1299">
    <w:name w:val="ListLabel 1299"/>
    <w:qFormat/>
    <w:rPr>
      <w:rFonts w:ascii="Arial" w:hAnsi="Arial" w:cs="Courier New"/>
      <w:sz w:val="24"/>
    </w:rPr>
  </w:style>
  <w:style w:type="character" w:styleId="ListLabel1300">
    <w:name w:val="ListLabel 1300"/>
    <w:qFormat/>
    <w:rPr>
      <w:rFonts w:cs="Wingdings"/>
    </w:rPr>
  </w:style>
  <w:style w:type="character" w:styleId="ListLabel1301">
    <w:name w:val="ListLabel 1301"/>
    <w:qFormat/>
    <w:rPr>
      <w:rFonts w:cs="Symbol"/>
    </w:rPr>
  </w:style>
  <w:style w:type="character" w:styleId="ListLabel1302">
    <w:name w:val="ListLabel 1302"/>
    <w:qFormat/>
    <w:rPr>
      <w:rFonts w:cs="Courier New"/>
    </w:rPr>
  </w:style>
  <w:style w:type="character" w:styleId="ListLabel1303">
    <w:name w:val="ListLabel 1303"/>
    <w:qFormat/>
    <w:rPr>
      <w:rFonts w:cs="Wingdings"/>
    </w:rPr>
  </w:style>
  <w:style w:type="character" w:styleId="ListLabel1304">
    <w:name w:val="ListLabel 1304"/>
    <w:qFormat/>
    <w:rPr>
      <w:rFonts w:cs="Symbol"/>
    </w:rPr>
  </w:style>
  <w:style w:type="character" w:styleId="ListLabel1305">
    <w:name w:val="ListLabel 1305"/>
    <w:qFormat/>
    <w:rPr>
      <w:rFonts w:cs="Courier New"/>
    </w:rPr>
  </w:style>
  <w:style w:type="character" w:styleId="ListLabel1306">
    <w:name w:val="ListLabel 1306"/>
    <w:qFormat/>
    <w:rPr>
      <w:rFonts w:cs="Wingdings"/>
    </w:rPr>
  </w:style>
  <w:style w:type="character" w:styleId="ListLabel1307">
    <w:name w:val="ListLabel 1307"/>
    <w:qFormat/>
    <w:rPr>
      <w:rFonts w:ascii="Arial" w:hAnsi="Arial" w:cs="Symbol"/>
      <w:b/>
      <w:sz w:val="24"/>
    </w:rPr>
  </w:style>
  <w:style w:type="character" w:styleId="ListLabel1308">
    <w:name w:val="ListLabel 1308"/>
    <w:qFormat/>
    <w:rPr>
      <w:rFonts w:ascii="Arial" w:hAnsi="Arial" w:cs="Courier New"/>
      <w:sz w:val="24"/>
    </w:rPr>
  </w:style>
  <w:style w:type="character" w:styleId="ListLabel1309">
    <w:name w:val="ListLabel 1309"/>
    <w:qFormat/>
    <w:rPr>
      <w:rFonts w:cs="Wingdings"/>
    </w:rPr>
  </w:style>
  <w:style w:type="character" w:styleId="ListLabel1310">
    <w:name w:val="ListLabel 1310"/>
    <w:qFormat/>
    <w:rPr>
      <w:rFonts w:cs="Symbol"/>
    </w:rPr>
  </w:style>
  <w:style w:type="character" w:styleId="ListLabel1311">
    <w:name w:val="ListLabel 1311"/>
    <w:qFormat/>
    <w:rPr>
      <w:rFonts w:cs="Courier New"/>
    </w:rPr>
  </w:style>
  <w:style w:type="character" w:styleId="ListLabel1312">
    <w:name w:val="ListLabel 1312"/>
    <w:qFormat/>
    <w:rPr>
      <w:rFonts w:cs="Wingdings"/>
    </w:rPr>
  </w:style>
  <w:style w:type="character" w:styleId="ListLabel1313">
    <w:name w:val="ListLabel 1313"/>
    <w:qFormat/>
    <w:rPr>
      <w:rFonts w:cs="Symbol"/>
    </w:rPr>
  </w:style>
  <w:style w:type="character" w:styleId="ListLabel1314">
    <w:name w:val="ListLabel 1314"/>
    <w:qFormat/>
    <w:rPr>
      <w:rFonts w:cs="Courier New"/>
    </w:rPr>
  </w:style>
  <w:style w:type="character" w:styleId="ListLabel1315">
    <w:name w:val="ListLabel 1315"/>
    <w:qFormat/>
    <w:rPr>
      <w:rFonts w:cs="Wingdings"/>
    </w:rPr>
  </w:style>
  <w:style w:type="character" w:styleId="ListLabel1316">
    <w:name w:val="ListLabel 1316"/>
    <w:qFormat/>
    <w:rPr>
      <w:rFonts w:ascii="Arial" w:hAnsi="Arial" w:cs="Symbol"/>
      <w:sz w:val="24"/>
    </w:rPr>
  </w:style>
  <w:style w:type="character" w:styleId="ListLabel1317">
    <w:name w:val="ListLabel 1317"/>
    <w:qFormat/>
    <w:rPr>
      <w:rFonts w:cs="Courier New"/>
    </w:rPr>
  </w:style>
  <w:style w:type="character" w:styleId="ListLabel1318">
    <w:name w:val="ListLabel 1318"/>
    <w:qFormat/>
    <w:rPr>
      <w:rFonts w:cs="Wingdings"/>
    </w:rPr>
  </w:style>
  <w:style w:type="character" w:styleId="ListLabel1319">
    <w:name w:val="ListLabel 1319"/>
    <w:qFormat/>
    <w:rPr>
      <w:rFonts w:cs="Symbol"/>
    </w:rPr>
  </w:style>
  <w:style w:type="character" w:styleId="ListLabel1320">
    <w:name w:val="ListLabel 1320"/>
    <w:qFormat/>
    <w:rPr>
      <w:rFonts w:cs="Courier New"/>
    </w:rPr>
  </w:style>
  <w:style w:type="character" w:styleId="ListLabel1321">
    <w:name w:val="ListLabel 1321"/>
    <w:qFormat/>
    <w:rPr>
      <w:rFonts w:cs="Wingdings"/>
    </w:rPr>
  </w:style>
  <w:style w:type="character" w:styleId="ListLabel1322">
    <w:name w:val="ListLabel 1322"/>
    <w:qFormat/>
    <w:rPr>
      <w:rFonts w:cs="Symbol"/>
    </w:rPr>
  </w:style>
  <w:style w:type="character" w:styleId="ListLabel1323">
    <w:name w:val="ListLabel 1323"/>
    <w:qFormat/>
    <w:rPr>
      <w:rFonts w:cs="Courier New"/>
    </w:rPr>
  </w:style>
  <w:style w:type="character" w:styleId="ListLabel1324">
    <w:name w:val="ListLabel 1324"/>
    <w:qFormat/>
    <w:rPr>
      <w:rFonts w:cs="Wingdings"/>
    </w:rPr>
  </w:style>
  <w:style w:type="character" w:styleId="ListLabel1325">
    <w:name w:val="ListLabel 1325"/>
    <w:qFormat/>
    <w:rPr>
      <w:rFonts w:ascii="Arial" w:hAnsi="Arial" w:cs="Symbol"/>
      <w:sz w:val="24"/>
    </w:rPr>
  </w:style>
  <w:style w:type="character" w:styleId="ListLabel1326">
    <w:name w:val="ListLabel 1326"/>
    <w:qFormat/>
    <w:rPr>
      <w:rFonts w:cs="Courier New"/>
    </w:rPr>
  </w:style>
  <w:style w:type="character" w:styleId="ListLabel1327">
    <w:name w:val="ListLabel 1327"/>
    <w:qFormat/>
    <w:rPr>
      <w:rFonts w:cs="Wingdings"/>
    </w:rPr>
  </w:style>
  <w:style w:type="character" w:styleId="ListLabel1328">
    <w:name w:val="ListLabel 1328"/>
    <w:qFormat/>
    <w:rPr>
      <w:rFonts w:cs="Symbol"/>
    </w:rPr>
  </w:style>
  <w:style w:type="character" w:styleId="ListLabel1329">
    <w:name w:val="ListLabel 1329"/>
    <w:qFormat/>
    <w:rPr>
      <w:rFonts w:cs="Courier New"/>
    </w:rPr>
  </w:style>
  <w:style w:type="character" w:styleId="ListLabel1330">
    <w:name w:val="ListLabel 1330"/>
    <w:qFormat/>
    <w:rPr>
      <w:rFonts w:cs="Wingdings"/>
    </w:rPr>
  </w:style>
  <w:style w:type="character" w:styleId="ListLabel1331">
    <w:name w:val="ListLabel 1331"/>
    <w:qFormat/>
    <w:rPr>
      <w:rFonts w:cs="Symbol"/>
    </w:rPr>
  </w:style>
  <w:style w:type="character" w:styleId="ListLabel1332">
    <w:name w:val="ListLabel 1332"/>
    <w:qFormat/>
    <w:rPr>
      <w:rFonts w:cs="Courier New"/>
    </w:rPr>
  </w:style>
  <w:style w:type="character" w:styleId="ListLabel1333">
    <w:name w:val="ListLabel 1333"/>
    <w:qFormat/>
    <w:rPr>
      <w:rFonts w:cs="Wingdings"/>
    </w:rPr>
  </w:style>
  <w:style w:type="character" w:styleId="ListLabel1334">
    <w:name w:val="ListLabel 1334"/>
    <w:qFormat/>
    <w:rPr>
      <w:rFonts w:ascii="Arial" w:hAnsi="Arial" w:cs="Symbol"/>
      <w:sz w:val="24"/>
    </w:rPr>
  </w:style>
  <w:style w:type="character" w:styleId="ListLabel1335">
    <w:name w:val="ListLabel 1335"/>
    <w:qFormat/>
    <w:rPr>
      <w:rFonts w:cs="Courier New"/>
    </w:rPr>
  </w:style>
  <w:style w:type="character" w:styleId="ListLabel1336">
    <w:name w:val="ListLabel 1336"/>
    <w:qFormat/>
    <w:rPr>
      <w:rFonts w:cs="Wingdings"/>
    </w:rPr>
  </w:style>
  <w:style w:type="character" w:styleId="ListLabel1337">
    <w:name w:val="ListLabel 1337"/>
    <w:qFormat/>
    <w:rPr>
      <w:rFonts w:cs="Symbol"/>
    </w:rPr>
  </w:style>
  <w:style w:type="character" w:styleId="ListLabel1338">
    <w:name w:val="ListLabel 1338"/>
    <w:qFormat/>
    <w:rPr>
      <w:rFonts w:cs="Courier New"/>
    </w:rPr>
  </w:style>
  <w:style w:type="character" w:styleId="ListLabel1339">
    <w:name w:val="ListLabel 1339"/>
    <w:qFormat/>
    <w:rPr>
      <w:rFonts w:cs="Wingdings"/>
    </w:rPr>
  </w:style>
  <w:style w:type="character" w:styleId="ListLabel1340">
    <w:name w:val="ListLabel 1340"/>
    <w:qFormat/>
    <w:rPr>
      <w:rFonts w:cs="Symbol"/>
    </w:rPr>
  </w:style>
  <w:style w:type="character" w:styleId="ListLabel1341">
    <w:name w:val="ListLabel 1341"/>
    <w:qFormat/>
    <w:rPr>
      <w:rFonts w:cs="Courier New"/>
    </w:rPr>
  </w:style>
  <w:style w:type="character" w:styleId="ListLabel1342">
    <w:name w:val="ListLabel 1342"/>
    <w:qFormat/>
    <w:rPr>
      <w:rFonts w:cs="Wingdings"/>
    </w:rPr>
  </w:style>
  <w:style w:type="character" w:styleId="ListLabel1343">
    <w:name w:val="ListLabel 1343"/>
    <w:qFormat/>
    <w:rPr>
      <w:rFonts w:ascii="Arial" w:hAnsi="Arial" w:cs="Symbol"/>
      <w:b/>
      <w:sz w:val="24"/>
    </w:rPr>
  </w:style>
  <w:style w:type="character" w:styleId="ListLabel1344">
    <w:name w:val="ListLabel 1344"/>
    <w:qFormat/>
    <w:rPr>
      <w:rFonts w:cs="Courier New"/>
    </w:rPr>
  </w:style>
  <w:style w:type="character" w:styleId="ListLabel1345">
    <w:name w:val="ListLabel 1345"/>
    <w:qFormat/>
    <w:rPr>
      <w:rFonts w:cs="Wingdings"/>
    </w:rPr>
  </w:style>
  <w:style w:type="character" w:styleId="ListLabel1346">
    <w:name w:val="ListLabel 1346"/>
    <w:qFormat/>
    <w:rPr>
      <w:rFonts w:cs="Symbol"/>
    </w:rPr>
  </w:style>
  <w:style w:type="character" w:styleId="ListLabel1347">
    <w:name w:val="ListLabel 1347"/>
    <w:qFormat/>
    <w:rPr>
      <w:rFonts w:cs="Courier New"/>
    </w:rPr>
  </w:style>
  <w:style w:type="character" w:styleId="ListLabel1348">
    <w:name w:val="ListLabel 1348"/>
    <w:qFormat/>
    <w:rPr>
      <w:rFonts w:cs="Wingdings"/>
    </w:rPr>
  </w:style>
  <w:style w:type="character" w:styleId="ListLabel1349">
    <w:name w:val="ListLabel 1349"/>
    <w:qFormat/>
    <w:rPr>
      <w:rFonts w:cs="Symbol"/>
    </w:rPr>
  </w:style>
  <w:style w:type="character" w:styleId="ListLabel1350">
    <w:name w:val="ListLabel 1350"/>
    <w:qFormat/>
    <w:rPr>
      <w:rFonts w:cs="Courier New"/>
    </w:rPr>
  </w:style>
  <w:style w:type="character" w:styleId="ListLabel1351">
    <w:name w:val="ListLabel 1351"/>
    <w:qFormat/>
    <w:rPr>
      <w:rFonts w:cs="Wingdings"/>
    </w:rPr>
  </w:style>
  <w:style w:type="character" w:styleId="ListLabel1352">
    <w:name w:val="ListLabel 1352"/>
    <w:qFormat/>
    <w:rPr>
      <w:rFonts w:ascii="Arial" w:hAnsi="Arial" w:cs="Symbol"/>
      <w:sz w:val="24"/>
    </w:rPr>
  </w:style>
  <w:style w:type="character" w:styleId="ListLabel1353">
    <w:name w:val="ListLabel 1353"/>
    <w:qFormat/>
    <w:rPr>
      <w:rFonts w:cs="Courier New"/>
    </w:rPr>
  </w:style>
  <w:style w:type="character" w:styleId="ListLabel1354">
    <w:name w:val="ListLabel 1354"/>
    <w:qFormat/>
    <w:rPr>
      <w:rFonts w:cs="Wingdings"/>
    </w:rPr>
  </w:style>
  <w:style w:type="character" w:styleId="ListLabel1355">
    <w:name w:val="ListLabel 1355"/>
    <w:qFormat/>
    <w:rPr>
      <w:rFonts w:cs="Symbol"/>
    </w:rPr>
  </w:style>
  <w:style w:type="character" w:styleId="ListLabel1356">
    <w:name w:val="ListLabel 1356"/>
    <w:qFormat/>
    <w:rPr>
      <w:rFonts w:cs="Courier New"/>
    </w:rPr>
  </w:style>
  <w:style w:type="character" w:styleId="ListLabel1357">
    <w:name w:val="ListLabel 1357"/>
    <w:qFormat/>
    <w:rPr>
      <w:rFonts w:cs="Wingdings"/>
    </w:rPr>
  </w:style>
  <w:style w:type="character" w:styleId="ListLabel1358">
    <w:name w:val="ListLabel 1358"/>
    <w:qFormat/>
    <w:rPr>
      <w:rFonts w:cs="Symbol"/>
    </w:rPr>
  </w:style>
  <w:style w:type="character" w:styleId="ListLabel1359">
    <w:name w:val="ListLabel 1359"/>
    <w:qFormat/>
    <w:rPr>
      <w:rFonts w:cs="Courier New"/>
    </w:rPr>
  </w:style>
  <w:style w:type="character" w:styleId="ListLabel1360">
    <w:name w:val="ListLabel 1360"/>
    <w:qFormat/>
    <w:rPr>
      <w:rFonts w:cs="Wingdings"/>
    </w:rPr>
  </w:style>
  <w:style w:type="character" w:styleId="ListLabel1361">
    <w:name w:val="ListLabel 1361"/>
    <w:qFormat/>
    <w:rPr>
      <w:rFonts w:ascii="Arial" w:hAnsi="Arial" w:cs="Symbol"/>
      <w:sz w:val="24"/>
    </w:rPr>
  </w:style>
  <w:style w:type="character" w:styleId="ListLabel1362">
    <w:name w:val="ListLabel 1362"/>
    <w:qFormat/>
    <w:rPr>
      <w:rFonts w:cs="Courier New"/>
    </w:rPr>
  </w:style>
  <w:style w:type="character" w:styleId="ListLabel1363">
    <w:name w:val="ListLabel 1363"/>
    <w:qFormat/>
    <w:rPr>
      <w:rFonts w:cs="Wingdings"/>
    </w:rPr>
  </w:style>
  <w:style w:type="character" w:styleId="ListLabel1364">
    <w:name w:val="ListLabel 1364"/>
    <w:qFormat/>
    <w:rPr>
      <w:rFonts w:cs="Symbol"/>
    </w:rPr>
  </w:style>
  <w:style w:type="character" w:styleId="ListLabel1365">
    <w:name w:val="ListLabel 1365"/>
    <w:qFormat/>
    <w:rPr>
      <w:rFonts w:cs="Courier New"/>
    </w:rPr>
  </w:style>
  <w:style w:type="character" w:styleId="ListLabel1366">
    <w:name w:val="ListLabel 1366"/>
    <w:qFormat/>
    <w:rPr>
      <w:rFonts w:cs="Wingdings"/>
    </w:rPr>
  </w:style>
  <w:style w:type="character" w:styleId="ListLabel1367">
    <w:name w:val="ListLabel 1367"/>
    <w:qFormat/>
    <w:rPr>
      <w:rFonts w:cs="Symbol"/>
    </w:rPr>
  </w:style>
  <w:style w:type="character" w:styleId="ListLabel1368">
    <w:name w:val="ListLabel 1368"/>
    <w:qFormat/>
    <w:rPr>
      <w:rFonts w:cs="Courier New"/>
    </w:rPr>
  </w:style>
  <w:style w:type="character" w:styleId="ListLabel1369">
    <w:name w:val="ListLabel 1369"/>
    <w:qFormat/>
    <w:rPr>
      <w:rFonts w:cs="Wingdings"/>
    </w:rPr>
  </w:style>
  <w:style w:type="character" w:styleId="ListLabel1370">
    <w:name w:val="ListLabel 1370"/>
    <w:qFormat/>
    <w:rPr>
      <w:rFonts w:ascii="Arial" w:hAnsi="Arial" w:cs="Symbol"/>
      <w:sz w:val="24"/>
    </w:rPr>
  </w:style>
  <w:style w:type="character" w:styleId="ListLabel1371">
    <w:name w:val="ListLabel 1371"/>
    <w:qFormat/>
    <w:rPr>
      <w:rFonts w:cs="Courier New"/>
    </w:rPr>
  </w:style>
  <w:style w:type="character" w:styleId="ListLabel1372">
    <w:name w:val="ListLabel 1372"/>
    <w:qFormat/>
    <w:rPr>
      <w:rFonts w:cs="Wingdings"/>
    </w:rPr>
  </w:style>
  <w:style w:type="character" w:styleId="ListLabel1373">
    <w:name w:val="ListLabel 1373"/>
    <w:qFormat/>
    <w:rPr>
      <w:rFonts w:cs="Symbol"/>
    </w:rPr>
  </w:style>
  <w:style w:type="character" w:styleId="ListLabel1374">
    <w:name w:val="ListLabel 1374"/>
    <w:qFormat/>
    <w:rPr>
      <w:rFonts w:cs="Courier New"/>
    </w:rPr>
  </w:style>
  <w:style w:type="character" w:styleId="ListLabel1375">
    <w:name w:val="ListLabel 1375"/>
    <w:qFormat/>
    <w:rPr>
      <w:rFonts w:cs="Wingdings"/>
    </w:rPr>
  </w:style>
  <w:style w:type="character" w:styleId="ListLabel1376">
    <w:name w:val="ListLabel 1376"/>
    <w:qFormat/>
    <w:rPr>
      <w:rFonts w:cs="Symbol"/>
    </w:rPr>
  </w:style>
  <w:style w:type="character" w:styleId="ListLabel1377">
    <w:name w:val="ListLabel 1377"/>
    <w:qFormat/>
    <w:rPr>
      <w:rFonts w:cs="Courier New"/>
    </w:rPr>
  </w:style>
  <w:style w:type="character" w:styleId="ListLabel1378">
    <w:name w:val="ListLabel 1378"/>
    <w:qFormat/>
    <w:rPr>
      <w:rFonts w:cs="Wingdings"/>
    </w:rPr>
  </w:style>
  <w:style w:type="character" w:styleId="ListLabel1379">
    <w:name w:val="ListLabel 1379"/>
    <w:qFormat/>
    <w:rPr>
      <w:rFonts w:ascii="Arial" w:hAnsi="Arial" w:cs="Symbol"/>
      <w:b/>
      <w:sz w:val="24"/>
    </w:rPr>
  </w:style>
  <w:style w:type="character" w:styleId="ListLabel1380">
    <w:name w:val="ListLabel 1380"/>
    <w:qFormat/>
    <w:rPr>
      <w:rFonts w:ascii="Arial" w:hAnsi="Arial" w:cs="Courier New"/>
      <w:b/>
      <w:sz w:val="24"/>
    </w:rPr>
  </w:style>
  <w:style w:type="character" w:styleId="ListLabel1381">
    <w:name w:val="ListLabel 1381"/>
    <w:qFormat/>
    <w:rPr>
      <w:rFonts w:cs="Wingdings"/>
    </w:rPr>
  </w:style>
  <w:style w:type="character" w:styleId="ListLabel1382">
    <w:name w:val="ListLabel 1382"/>
    <w:qFormat/>
    <w:rPr>
      <w:rFonts w:ascii="Arial" w:hAnsi="Arial" w:cs="Symbol"/>
      <w:b/>
      <w:sz w:val="24"/>
    </w:rPr>
  </w:style>
  <w:style w:type="character" w:styleId="ListLabel1383">
    <w:name w:val="ListLabel 1383"/>
    <w:qFormat/>
    <w:rPr>
      <w:rFonts w:cs="Courier New"/>
    </w:rPr>
  </w:style>
  <w:style w:type="character" w:styleId="ListLabel1384">
    <w:name w:val="ListLabel 1384"/>
    <w:qFormat/>
    <w:rPr>
      <w:rFonts w:cs="Wingdings"/>
    </w:rPr>
  </w:style>
  <w:style w:type="character" w:styleId="ListLabel1385">
    <w:name w:val="ListLabel 1385"/>
    <w:qFormat/>
    <w:rPr>
      <w:rFonts w:cs="Symbol"/>
    </w:rPr>
  </w:style>
  <w:style w:type="character" w:styleId="ListLabel1386">
    <w:name w:val="ListLabel 1386"/>
    <w:qFormat/>
    <w:rPr>
      <w:rFonts w:cs="Courier New"/>
    </w:rPr>
  </w:style>
  <w:style w:type="character" w:styleId="ListLabel1387">
    <w:name w:val="ListLabel 1387"/>
    <w:qFormat/>
    <w:rPr>
      <w:rFonts w:cs="Wingdings"/>
    </w:rPr>
  </w:style>
  <w:style w:type="character" w:styleId="ListLabel1388">
    <w:name w:val="ListLabel 1388"/>
    <w:qFormat/>
    <w:rPr>
      <w:rFonts w:ascii="Arial" w:hAnsi="Arial" w:cs="Symbol"/>
      <w:b/>
      <w:sz w:val="24"/>
    </w:rPr>
  </w:style>
  <w:style w:type="character" w:styleId="ListLabel1389">
    <w:name w:val="ListLabel 1389"/>
    <w:qFormat/>
    <w:rPr>
      <w:rFonts w:ascii="Arial" w:hAnsi="Arial" w:cs="Courier New"/>
      <w:b/>
      <w:sz w:val="24"/>
    </w:rPr>
  </w:style>
  <w:style w:type="character" w:styleId="ListLabel1390">
    <w:name w:val="ListLabel 1390"/>
    <w:qFormat/>
    <w:rPr>
      <w:rFonts w:cs="Wingdings"/>
    </w:rPr>
  </w:style>
  <w:style w:type="character" w:styleId="ListLabel1391">
    <w:name w:val="ListLabel 1391"/>
    <w:qFormat/>
    <w:rPr>
      <w:rFonts w:cs="Symbol"/>
    </w:rPr>
  </w:style>
  <w:style w:type="character" w:styleId="ListLabel1392">
    <w:name w:val="ListLabel 1392"/>
    <w:qFormat/>
    <w:rPr>
      <w:rFonts w:cs="Courier New"/>
    </w:rPr>
  </w:style>
  <w:style w:type="character" w:styleId="ListLabel1393">
    <w:name w:val="ListLabel 1393"/>
    <w:qFormat/>
    <w:rPr>
      <w:rFonts w:cs="Wingdings"/>
    </w:rPr>
  </w:style>
  <w:style w:type="character" w:styleId="ListLabel1394">
    <w:name w:val="ListLabel 1394"/>
    <w:qFormat/>
    <w:rPr>
      <w:rFonts w:cs="Symbol"/>
    </w:rPr>
  </w:style>
  <w:style w:type="character" w:styleId="ListLabel1395">
    <w:name w:val="ListLabel 1395"/>
    <w:qFormat/>
    <w:rPr>
      <w:rFonts w:cs="Courier New"/>
    </w:rPr>
  </w:style>
  <w:style w:type="character" w:styleId="ListLabel1396">
    <w:name w:val="ListLabel 1396"/>
    <w:qFormat/>
    <w:rPr>
      <w:rFonts w:cs="Wingdings"/>
    </w:rPr>
  </w:style>
  <w:style w:type="character" w:styleId="ListLabel1397">
    <w:name w:val="ListLabel 1397"/>
    <w:qFormat/>
    <w:rPr>
      <w:rFonts w:ascii="Arial" w:hAnsi="Arial" w:cs="Symbol"/>
      <w:b/>
      <w:sz w:val="24"/>
    </w:rPr>
  </w:style>
  <w:style w:type="character" w:styleId="ListLabel1398">
    <w:name w:val="ListLabel 1398"/>
    <w:qFormat/>
    <w:rPr>
      <w:rFonts w:cs="Courier New"/>
    </w:rPr>
  </w:style>
  <w:style w:type="character" w:styleId="ListLabel1399">
    <w:name w:val="ListLabel 1399"/>
    <w:qFormat/>
    <w:rPr>
      <w:rFonts w:cs="Wingdings"/>
    </w:rPr>
  </w:style>
  <w:style w:type="character" w:styleId="ListLabel1400">
    <w:name w:val="ListLabel 1400"/>
    <w:qFormat/>
    <w:rPr>
      <w:rFonts w:cs="Symbol"/>
    </w:rPr>
  </w:style>
  <w:style w:type="character" w:styleId="ListLabel1401">
    <w:name w:val="ListLabel 1401"/>
    <w:qFormat/>
    <w:rPr>
      <w:rFonts w:cs="Courier New"/>
    </w:rPr>
  </w:style>
  <w:style w:type="character" w:styleId="ListLabel1402">
    <w:name w:val="ListLabel 1402"/>
    <w:qFormat/>
    <w:rPr>
      <w:rFonts w:cs="Wingdings"/>
    </w:rPr>
  </w:style>
  <w:style w:type="character" w:styleId="ListLabel1403">
    <w:name w:val="ListLabel 1403"/>
    <w:qFormat/>
    <w:rPr>
      <w:rFonts w:cs="Symbol"/>
    </w:rPr>
  </w:style>
  <w:style w:type="character" w:styleId="ListLabel1404">
    <w:name w:val="ListLabel 1404"/>
    <w:qFormat/>
    <w:rPr>
      <w:rFonts w:cs="Courier New"/>
    </w:rPr>
  </w:style>
  <w:style w:type="character" w:styleId="ListLabel1405">
    <w:name w:val="ListLabel 1405"/>
    <w:qFormat/>
    <w:rPr>
      <w:rFonts w:cs="Wingdings"/>
    </w:rPr>
  </w:style>
  <w:style w:type="character" w:styleId="ListLabel1406">
    <w:name w:val="ListLabel 1406"/>
    <w:qFormat/>
    <w:rPr>
      <w:rFonts w:ascii="Arial" w:hAnsi="Arial" w:cs="Symbol"/>
      <w:b/>
      <w:sz w:val="24"/>
    </w:rPr>
  </w:style>
  <w:style w:type="character" w:styleId="ListLabel1407">
    <w:name w:val="ListLabel 1407"/>
    <w:qFormat/>
    <w:rPr>
      <w:rFonts w:cs="Courier New"/>
    </w:rPr>
  </w:style>
  <w:style w:type="character" w:styleId="ListLabel1408">
    <w:name w:val="ListLabel 1408"/>
    <w:qFormat/>
    <w:rPr>
      <w:rFonts w:cs="Wingdings"/>
    </w:rPr>
  </w:style>
  <w:style w:type="character" w:styleId="ListLabel1409">
    <w:name w:val="ListLabel 1409"/>
    <w:qFormat/>
    <w:rPr>
      <w:rFonts w:cs="Symbol"/>
    </w:rPr>
  </w:style>
  <w:style w:type="character" w:styleId="ListLabel1410">
    <w:name w:val="ListLabel 1410"/>
    <w:qFormat/>
    <w:rPr>
      <w:rFonts w:cs="Courier New"/>
    </w:rPr>
  </w:style>
  <w:style w:type="character" w:styleId="ListLabel1411">
    <w:name w:val="ListLabel 1411"/>
    <w:qFormat/>
    <w:rPr>
      <w:rFonts w:cs="Wingdings"/>
    </w:rPr>
  </w:style>
  <w:style w:type="character" w:styleId="ListLabel1412">
    <w:name w:val="ListLabel 1412"/>
    <w:qFormat/>
    <w:rPr>
      <w:rFonts w:cs="Symbol"/>
    </w:rPr>
  </w:style>
  <w:style w:type="character" w:styleId="ListLabel1413">
    <w:name w:val="ListLabel 1413"/>
    <w:qFormat/>
    <w:rPr>
      <w:rFonts w:cs="Courier New"/>
    </w:rPr>
  </w:style>
  <w:style w:type="character" w:styleId="ListLabel1414">
    <w:name w:val="ListLabel 1414"/>
    <w:qFormat/>
    <w:rPr>
      <w:rFonts w:cs="Wingdings"/>
    </w:rPr>
  </w:style>
  <w:style w:type="character" w:styleId="ListLabel1415">
    <w:name w:val="ListLabel 1415"/>
    <w:qFormat/>
    <w:rPr>
      <w:rFonts w:ascii="Arial" w:hAnsi="Arial" w:cs="Symbol"/>
      <w:b/>
      <w:sz w:val="24"/>
    </w:rPr>
  </w:style>
  <w:style w:type="character" w:styleId="ListLabel1416">
    <w:name w:val="ListLabel 1416"/>
    <w:qFormat/>
    <w:rPr>
      <w:rFonts w:cs="Courier New"/>
    </w:rPr>
  </w:style>
  <w:style w:type="character" w:styleId="ListLabel1417">
    <w:name w:val="ListLabel 1417"/>
    <w:qFormat/>
    <w:rPr>
      <w:rFonts w:cs="Wingdings"/>
    </w:rPr>
  </w:style>
  <w:style w:type="character" w:styleId="ListLabel1418">
    <w:name w:val="ListLabel 1418"/>
    <w:qFormat/>
    <w:rPr>
      <w:rFonts w:cs="Symbol"/>
    </w:rPr>
  </w:style>
  <w:style w:type="character" w:styleId="ListLabel1419">
    <w:name w:val="ListLabel 1419"/>
    <w:qFormat/>
    <w:rPr>
      <w:rFonts w:cs="Courier New"/>
    </w:rPr>
  </w:style>
  <w:style w:type="character" w:styleId="ListLabel1420">
    <w:name w:val="ListLabel 1420"/>
    <w:qFormat/>
    <w:rPr>
      <w:rFonts w:cs="Wingdings"/>
    </w:rPr>
  </w:style>
  <w:style w:type="character" w:styleId="ListLabel1421">
    <w:name w:val="ListLabel 1421"/>
    <w:qFormat/>
    <w:rPr>
      <w:rFonts w:cs="Symbol"/>
    </w:rPr>
  </w:style>
  <w:style w:type="character" w:styleId="ListLabel1422">
    <w:name w:val="ListLabel 1422"/>
    <w:qFormat/>
    <w:rPr>
      <w:rFonts w:cs="Courier New"/>
    </w:rPr>
  </w:style>
  <w:style w:type="character" w:styleId="ListLabel1423">
    <w:name w:val="ListLabel 1423"/>
    <w:qFormat/>
    <w:rPr>
      <w:rFonts w:cs="Wingdings"/>
    </w:rPr>
  </w:style>
  <w:style w:type="character" w:styleId="ListLabel1424">
    <w:name w:val="ListLabel 1424"/>
    <w:qFormat/>
    <w:rPr>
      <w:rFonts w:ascii="Arial" w:hAnsi="Arial" w:eastAsia="SimSun" w:cs="Arial"/>
      <w:b/>
      <w:sz w:val="24"/>
    </w:rPr>
  </w:style>
  <w:style w:type="character" w:styleId="ListLabel1425">
    <w:name w:val="ListLabel 1425"/>
    <w:qFormat/>
    <w:rPr>
      <w:rFonts w:ascii="Arial" w:hAnsi="Arial" w:eastAsia="Times New Roman" w:cs="Arial"/>
      <w:sz w:val="24"/>
    </w:rPr>
  </w:style>
  <w:style w:type="character" w:styleId="ListLabel1426">
    <w:name w:val="ListLabel 1426"/>
    <w:qFormat/>
    <w:rPr>
      <w:rFonts w:ascii="Arial" w:hAnsi="Arial" w:eastAsia="Times New Roman" w:cs="Arial"/>
      <w:sz w:val="24"/>
    </w:rPr>
  </w:style>
  <w:style w:type="character" w:styleId="ListLabel1427">
    <w:name w:val="ListLabel 1427"/>
    <w:qFormat/>
    <w:rPr>
      <w:rFonts w:ascii="Arial" w:hAnsi="Arial" w:eastAsia="Times New Roman" w:cs="Arial"/>
      <w:sz w:val="24"/>
    </w:rPr>
  </w:style>
  <w:style w:type="character" w:styleId="ListLabel1428">
    <w:name w:val="ListLabel 1428"/>
    <w:qFormat/>
    <w:rPr>
      <w:rFonts w:ascii="Arial" w:hAnsi="Arial" w:cs="Symbol"/>
      <w:sz w:val="24"/>
    </w:rPr>
  </w:style>
  <w:style w:type="character" w:styleId="ListLabel1429">
    <w:name w:val="ListLabel 1429"/>
    <w:qFormat/>
    <w:rPr>
      <w:rFonts w:cs="Courier New"/>
    </w:rPr>
  </w:style>
  <w:style w:type="character" w:styleId="ListLabel1430">
    <w:name w:val="ListLabel 1430"/>
    <w:qFormat/>
    <w:rPr>
      <w:rFonts w:cs="Wingdings"/>
    </w:rPr>
  </w:style>
  <w:style w:type="character" w:styleId="ListLabel1431">
    <w:name w:val="ListLabel 1431"/>
    <w:qFormat/>
    <w:rPr>
      <w:rFonts w:cs="Symbol"/>
    </w:rPr>
  </w:style>
  <w:style w:type="character" w:styleId="ListLabel1432">
    <w:name w:val="ListLabel 1432"/>
    <w:qFormat/>
    <w:rPr>
      <w:rFonts w:cs="Courier New"/>
    </w:rPr>
  </w:style>
  <w:style w:type="character" w:styleId="ListLabel1433">
    <w:name w:val="ListLabel 1433"/>
    <w:qFormat/>
    <w:rPr>
      <w:rFonts w:cs="Wingdings"/>
    </w:rPr>
  </w:style>
  <w:style w:type="character" w:styleId="ListLabel1434">
    <w:name w:val="ListLabel 1434"/>
    <w:qFormat/>
    <w:rPr>
      <w:rFonts w:cs="Symbol"/>
    </w:rPr>
  </w:style>
  <w:style w:type="character" w:styleId="ListLabel1435">
    <w:name w:val="ListLabel 1435"/>
    <w:qFormat/>
    <w:rPr>
      <w:rFonts w:cs="Courier New"/>
    </w:rPr>
  </w:style>
  <w:style w:type="character" w:styleId="ListLabel1436">
    <w:name w:val="ListLabel 1436"/>
    <w:qFormat/>
    <w:rPr>
      <w:rFonts w:cs="Wingdings"/>
    </w:rPr>
  </w:style>
  <w:style w:type="character" w:styleId="ListLabel1437">
    <w:name w:val="ListLabel 1437"/>
    <w:qFormat/>
    <w:rPr>
      <w:rFonts w:ascii="Arial" w:hAnsi="Arial" w:eastAsia="Times New Roman" w:cs="Arial"/>
      <w:sz w:val="24"/>
    </w:rPr>
  </w:style>
  <w:style w:type="character" w:styleId="ListLabel1438">
    <w:name w:val="ListLabel 1438"/>
    <w:qFormat/>
    <w:rPr>
      <w:rFonts w:ascii="Arial" w:hAnsi="Arial" w:eastAsia="Times New Roman" w:cs="Arial"/>
      <w:sz w:val="24"/>
    </w:rPr>
  </w:style>
  <w:style w:type="character" w:styleId="ListLabel1439">
    <w:name w:val="ListLabel 1439"/>
    <w:qFormat/>
    <w:rPr>
      <w:rFonts w:ascii="Arial" w:hAnsi="Arial" w:eastAsia="Times New Roman" w:cs="Arial"/>
      <w:sz w:val="24"/>
    </w:rPr>
  </w:style>
  <w:style w:type="character" w:styleId="ListLabel1440">
    <w:name w:val="ListLabel 1440"/>
    <w:qFormat/>
    <w:rPr>
      <w:rFonts w:ascii="Arial" w:hAnsi="Arial" w:eastAsia="Times New Roman" w:cs="Arial"/>
      <w:sz w:val="24"/>
    </w:rPr>
  </w:style>
  <w:style w:type="character" w:styleId="ListLabel1441">
    <w:name w:val="ListLabel 1441"/>
    <w:qFormat/>
    <w:rPr>
      <w:rFonts w:ascii="Arial" w:hAnsi="Arial" w:cs="Arial"/>
      <w:sz w:val="24"/>
    </w:rPr>
  </w:style>
  <w:style w:type="character" w:styleId="ListLabel1442">
    <w:name w:val="ListLabel 1442"/>
    <w:qFormat/>
    <w:rPr>
      <w:rFonts w:ascii="Arial" w:hAnsi="Arial" w:eastAsia="Times New Roman" w:cs="Arial"/>
      <w:sz w:val="24"/>
    </w:rPr>
  </w:style>
  <w:style w:type="character" w:styleId="ListLabel1443">
    <w:name w:val="ListLabel 1443"/>
    <w:qFormat/>
    <w:rPr>
      <w:rFonts w:ascii="Arial" w:hAnsi="Arial" w:eastAsia="Times New Roman" w:cs="Arial"/>
      <w:sz w:val="24"/>
    </w:rPr>
  </w:style>
  <w:style w:type="character" w:styleId="ListLabel1444">
    <w:name w:val="ListLabel 1444"/>
    <w:qFormat/>
    <w:rPr>
      <w:rFonts w:ascii="Arial" w:hAnsi="Arial" w:eastAsia="Times New Roman" w:cs="Arial"/>
      <w:sz w:val="24"/>
    </w:rPr>
  </w:style>
  <w:style w:type="character" w:styleId="ListLabel1445">
    <w:name w:val="ListLabel 1445"/>
    <w:qFormat/>
    <w:rPr>
      <w:rFonts w:ascii="Arial" w:hAnsi="Arial" w:eastAsia="Times New Roman" w:cs="Arial"/>
      <w:sz w:val="24"/>
    </w:rPr>
  </w:style>
  <w:style w:type="character" w:styleId="ListLabel1446">
    <w:name w:val="ListLabel 1446"/>
    <w:qFormat/>
    <w:rPr>
      <w:rFonts w:ascii="Arial" w:hAnsi="Arial" w:eastAsia="Times New Roman" w:cs="Arial"/>
      <w:sz w:val="24"/>
    </w:rPr>
  </w:style>
  <w:style w:type="character" w:styleId="ListLabel1447">
    <w:name w:val="ListLabel 1447"/>
    <w:qFormat/>
    <w:rPr>
      <w:rFonts w:ascii="Arial" w:hAnsi="Arial" w:eastAsia="Times New Roman" w:cs="Arial"/>
      <w:sz w:val="24"/>
    </w:rPr>
  </w:style>
  <w:style w:type="character" w:styleId="ListLabel1448">
    <w:name w:val="ListLabel 1448"/>
    <w:qFormat/>
    <w:rPr>
      <w:rFonts w:ascii="Arial" w:hAnsi="Arial" w:cs="Symbol"/>
      <w:b/>
      <w:sz w:val="24"/>
    </w:rPr>
  </w:style>
  <w:style w:type="character" w:styleId="ListLabel1449">
    <w:name w:val="ListLabel 1449"/>
    <w:qFormat/>
    <w:rPr>
      <w:rFonts w:cs="Courier New"/>
    </w:rPr>
  </w:style>
  <w:style w:type="character" w:styleId="ListLabel1450">
    <w:name w:val="ListLabel 1450"/>
    <w:qFormat/>
    <w:rPr>
      <w:rFonts w:cs="Wingdings"/>
    </w:rPr>
  </w:style>
  <w:style w:type="character" w:styleId="ListLabel1451">
    <w:name w:val="ListLabel 1451"/>
    <w:qFormat/>
    <w:rPr>
      <w:rFonts w:cs="Symbol"/>
    </w:rPr>
  </w:style>
  <w:style w:type="character" w:styleId="ListLabel1452">
    <w:name w:val="ListLabel 1452"/>
    <w:qFormat/>
    <w:rPr>
      <w:rFonts w:cs="Courier New"/>
    </w:rPr>
  </w:style>
  <w:style w:type="character" w:styleId="ListLabel1453">
    <w:name w:val="ListLabel 1453"/>
    <w:qFormat/>
    <w:rPr>
      <w:rFonts w:cs="Wingdings"/>
    </w:rPr>
  </w:style>
  <w:style w:type="character" w:styleId="ListLabel1454">
    <w:name w:val="ListLabel 1454"/>
    <w:qFormat/>
    <w:rPr>
      <w:rFonts w:cs="Symbol"/>
    </w:rPr>
  </w:style>
  <w:style w:type="character" w:styleId="ListLabel1455">
    <w:name w:val="ListLabel 1455"/>
    <w:qFormat/>
    <w:rPr>
      <w:rFonts w:cs="Courier New"/>
    </w:rPr>
  </w:style>
  <w:style w:type="character" w:styleId="ListLabel1456">
    <w:name w:val="ListLabel 1456"/>
    <w:qFormat/>
    <w:rPr>
      <w:rFonts w:cs="Wingdings"/>
    </w:rPr>
  </w:style>
  <w:style w:type="paragraph" w:styleId="Ttulo">
    <w:name w:val="Título"/>
    <w:basedOn w:val="Normal"/>
    <w:next w:val="Corpodetexto"/>
    <w:qFormat/>
    <w:pPr>
      <w:keepNext/>
      <w:spacing w:before="240" w:after="120"/>
    </w:pPr>
    <w:rPr>
      <w:rFonts w:ascii="Liberation Sans" w:hAnsi="Liberation Sans" w:eastAsia="Microsoft YaHei" w:cs="Mangal"/>
      <w:sz w:val="28"/>
      <w:szCs w:val="28"/>
    </w:rPr>
  </w:style>
  <w:style w:type="paragraph" w:styleId="Corpodetexto">
    <w:name w:val="Body Text"/>
    <w:basedOn w:val="Normal"/>
    <w:pPr>
      <w:spacing w:lineRule="auto" w:line="288" w:before="0" w:after="140"/>
    </w:pPr>
    <w:rPr/>
  </w:style>
  <w:style w:type="paragraph" w:styleId="Lista">
    <w:name w:val="List"/>
    <w:basedOn w:val="Corpodetexto"/>
    <w:pPr/>
    <w:rPr>
      <w:rFonts w:cs="Mangal"/>
      <w:sz w:val="24"/>
    </w:rPr>
  </w:style>
  <w:style w:type="paragraph" w:styleId="Legenda">
    <w:name w:val="Caption"/>
    <w:basedOn w:val="Normal"/>
    <w:qFormat/>
    <w:pPr>
      <w:suppressLineNumbers/>
      <w:spacing w:before="120" w:after="120"/>
    </w:pPr>
    <w:rPr>
      <w:rFonts w:cs="Mangal"/>
      <w:i/>
      <w:iCs/>
      <w:sz w:val="24"/>
      <w:szCs w:val="24"/>
    </w:rPr>
  </w:style>
  <w:style w:type="paragraph" w:styleId="Ndice" w:customStyle="1">
    <w:name w:val="Índice"/>
    <w:basedOn w:val="Normal"/>
    <w:qFormat/>
    <w:pPr>
      <w:suppressLineNumbers/>
    </w:pPr>
    <w:rPr>
      <w:rFonts w:cs="Mangal"/>
      <w:sz w:val="24"/>
    </w:rPr>
  </w:style>
  <w:style w:type="paragraph" w:styleId="Ttulo11" w:customStyle="1">
    <w:name w:val="Título1"/>
    <w:basedOn w:val="Normal"/>
    <w:qFormat/>
    <w:pPr>
      <w:keepNext/>
      <w:spacing w:before="240" w:after="120"/>
    </w:pPr>
    <w:rPr/>
  </w:style>
  <w:style w:type="paragraph" w:styleId="Caption">
    <w:name w:val="caption"/>
    <w:basedOn w:val="Normal"/>
    <w:qFormat/>
    <w:pPr>
      <w:suppressLineNumbers/>
      <w:spacing w:before="120" w:after="120"/>
    </w:pPr>
    <w:rPr>
      <w:rFonts w:cs="Mangal"/>
      <w:i/>
      <w:iCs/>
      <w:sz w:val="24"/>
      <w:szCs w:val="24"/>
    </w:rPr>
  </w:style>
  <w:style w:type="paragraph" w:styleId="Ttulo31" w:customStyle="1">
    <w:name w:val="Título3"/>
    <w:basedOn w:val="Normal"/>
    <w:qFormat/>
    <w:pPr>
      <w:keepNext/>
      <w:spacing w:before="240" w:after="120"/>
    </w:pPr>
    <w:rPr>
      <w:rFonts w:ascii="Liberation Sans" w:hAnsi="Liberation Sans" w:eastAsia="Microsoft YaHei" w:cs="Mangal"/>
      <w:sz w:val="28"/>
      <w:szCs w:val="28"/>
    </w:rPr>
  </w:style>
  <w:style w:type="paragraph" w:styleId="WWCaption" w:customStyle="1">
    <w:name w:val="WW-Caption"/>
    <w:basedOn w:val="Normal"/>
    <w:qFormat/>
    <w:pPr>
      <w:suppressLineNumbers/>
      <w:spacing w:before="120" w:after="120"/>
    </w:pPr>
    <w:rPr/>
  </w:style>
  <w:style w:type="paragraph" w:styleId="Contedodatabela" w:customStyle="1">
    <w:name w:val="Conteúdo da tabela"/>
    <w:basedOn w:val="Normal"/>
    <w:qFormat/>
    <w:pPr>
      <w:suppressLineNumbers/>
    </w:pPr>
    <w:rPr/>
  </w:style>
  <w:style w:type="paragraph" w:styleId="Ttulodetabela" w:customStyle="1">
    <w:name w:val="Título de tabela"/>
    <w:basedOn w:val="Contedodatabela"/>
    <w:qFormat/>
    <w:pPr>
      <w:jc w:val="center"/>
    </w:pPr>
    <w:rPr>
      <w:b/>
      <w:bCs/>
    </w:rPr>
  </w:style>
  <w:style w:type="paragraph" w:styleId="Default" w:customStyle="1">
    <w:name w:val="Default"/>
    <w:qFormat/>
    <w:pPr>
      <w:widowControl/>
      <w:suppressAutoHyphens w:val="true"/>
      <w:overflowPunct w:val="true"/>
      <w:bidi w:val="0"/>
      <w:jc w:val="left"/>
    </w:pPr>
    <w:rPr>
      <w:rFonts w:ascii="Times New Roman" w:hAnsi="Times New Roman" w:eastAsia="Times New Roman" w:cs="Times New Roman"/>
      <w:color w:val="00000A"/>
      <w:sz w:val="20"/>
      <w:szCs w:val="20"/>
      <w:lang w:val="pt-BR" w:eastAsia="zh-CN" w:bidi="ar-SA"/>
    </w:rPr>
  </w:style>
  <w:style w:type="paragraph" w:styleId="NormalWeb">
    <w:name w:val="Normal (Web)"/>
    <w:basedOn w:val="Normal"/>
    <w:uiPriority w:val="99"/>
    <w:qFormat/>
    <w:pPr>
      <w:widowControl/>
      <w:spacing w:before="280" w:after="280"/>
      <w:textAlignment w:val="auto"/>
    </w:pPr>
    <w:rPr/>
  </w:style>
  <w:style w:type="paragraph" w:styleId="Corpodetexto21" w:customStyle="1">
    <w:name w:val="Corpo de texto 21"/>
    <w:basedOn w:val="Normal"/>
    <w:qFormat/>
    <w:pPr>
      <w:widowControl/>
      <w:spacing w:lineRule="auto" w:line="480" w:before="0" w:after="120"/>
      <w:textAlignment w:val="auto"/>
    </w:pPr>
    <w:rPr/>
  </w:style>
  <w:style w:type="paragraph" w:styleId="PargrafodaLista1" w:customStyle="1">
    <w:name w:val="Parágrafo da Lista1"/>
    <w:basedOn w:val="Normal"/>
    <w:qFormat/>
    <w:pPr>
      <w:ind w:left="708" w:hanging="0"/>
    </w:pPr>
    <w:rPr>
      <w:szCs w:val="21"/>
    </w:rPr>
  </w:style>
  <w:style w:type="paragraph" w:styleId="Recuodecorpodetexto31" w:customStyle="1">
    <w:name w:val="Recuo de corpo de texto 31"/>
    <w:basedOn w:val="Normal"/>
    <w:qFormat/>
    <w:pPr>
      <w:ind w:firstLine="708"/>
      <w:jc w:val="both"/>
    </w:pPr>
    <w:rPr/>
  </w:style>
  <w:style w:type="paragraph" w:styleId="Not" w:customStyle="1">
    <w:name w:val="not"/>
    <w:basedOn w:val="Normal"/>
    <w:qFormat/>
    <w:pPr>
      <w:spacing w:before="100" w:after="100"/>
    </w:pPr>
    <w:rPr/>
  </w:style>
  <w:style w:type="paragraph" w:styleId="Padro" w:customStyle="1">
    <w:name w:val="Padrão"/>
    <w:qFormat/>
    <w:pPr>
      <w:widowControl/>
      <w:tabs>
        <w:tab w:val="left" w:pos="0" w:leader="none"/>
        <w:tab w:val="left" w:pos="1440" w:leader="none"/>
        <w:tab w:val="left" w:pos="2880" w:leader="none"/>
        <w:tab w:val="left" w:pos="4320" w:leader="none"/>
        <w:tab w:val="left" w:pos="5760" w:leader="none"/>
        <w:tab w:val="left" w:pos="7200" w:leader="none"/>
        <w:tab w:val="left" w:pos="8640" w:leader="none"/>
        <w:tab w:val="left" w:pos="10080" w:leader="none"/>
        <w:tab w:val="left" w:pos="11520" w:leader="none"/>
        <w:tab w:val="left" w:pos="12960" w:leader="none"/>
        <w:tab w:val="left" w:pos="14400" w:leader="none"/>
        <w:tab w:val="left" w:pos="15840" w:leader="none"/>
      </w:tabs>
      <w:suppressAutoHyphens w:val="true"/>
      <w:overflowPunct w:val="true"/>
      <w:bidi w:val="0"/>
      <w:jc w:val="left"/>
    </w:pPr>
    <w:rPr>
      <w:rFonts w:ascii="Times New Roman" w:hAnsi="Times New Roman" w:eastAsia="Times New Roman" w:cs="Times New Roman"/>
      <w:color w:val="00000A"/>
      <w:sz w:val="20"/>
      <w:szCs w:val="20"/>
      <w:lang w:val="pt-BR" w:eastAsia="zh-CN" w:bidi="ar-SA"/>
    </w:rPr>
  </w:style>
  <w:style w:type="paragraph" w:styleId="Objetocomseta" w:customStyle="1">
    <w:name w:val="Objeto com seta"/>
    <w:basedOn w:val="Padro"/>
    <w:qFormat/>
    <w:pPr/>
    <w:rPr/>
  </w:style>
  <w:style w:type="paragraph" w:styleId="Objetocomsombra" w:customStyle="1">
    <w:name w:val="Objeto com sombra"/>
    <w:basedOn w:val="Padro"/>
    <w:qFormat/>
    <w:pPr/>
    <w:rPr/>
  </w:style>
  <w:style w:type="paragraph" w:styleId="Objetosempreenchimento" w:customStyle="1">
    <w:name w:val="Objeto sem preenchimento"/>
    <w:basedOn w:val="Padro"/>
    <w:qFormat/>
    <w:pPr/>
    <w:rPr/>
  </w:style>
  <w:style w:type="paragraph" w:styleId="Objetosempreenchimentonemlinha" w:customStyle="1">
    <w:name w:val="Objeto sem preenchimento nem linha"/>
    <w:basedOn w:val="Padro"/>
    <w:qFormat/>
    <w:pPr/>
    <w:rPr/>
  </w:style>
  <w:style w:type="paragraph" w:styleId="Corpodotextojustificado" w:customStyle="1">
    <w:name w:val="Corpo do texto justificado"/>
    <w:basedOn w:val="Padro"/>
    <w:qFormat/>
    <w:pPr/>
    <w:rPr/>
  </w:style>
  <w:style w:type="paragraph" w:styleId="Recuodaprimeiralinha" w:customStyle="1">
    <w:name w:val="Recuo da primeira linha"/>
    <w:basedOn w:val="Padro"/>
    <w:qFormat/>
    <w:pPr>
      <w:ind w:firstLine="340"/>
    </w:pPr>
    <w:rPr/>
  </w:style>
  <w:style w:type="paragraph" w:styleId="Ttulo21" w:customStyle="1">
    <w:name w:val="Título2"/>
    <w:basedOn w:val="Padro"/>
    <w:qFormat/>
    <w:pPr>
      <w:spacing w:before="57" w:after="57"/>
      <w:ind w:right="113" w:hanging="0"/>
      <w:jc w:val="center"/>
    </w:pPr>
    <w:rPr/>
  </w:style>
  <w:style w:type="paragraph" w:styleId="Linhadecota" w:customStyle="1">
    <w:name w:val="Linha de cota"/>
    <w:basedOn w:val="Padro"/>
    <w:qFormat/>
    <w:pPr/>
    <w:rPr/>
  </w:style>
  <w:style w:type="paragraph" w:styleId="PadroLTGliederung1" w:customStyle="1">
    <w:name w:val="Padrão~LT~Gliederung 1"/>
    <w:qFormat/>
    <w:pPr>
      <w:widowControl/>
      <w:tabs>
        <w:tab w:val="left" w:pos="900" w:leader="none"/>
        <w:tab w:val="left" w:pos="2340" w:leader="none"/>
        <w:tab w:val="left" w:pos="3780" w:leader="none"/>
        <w:tab w:val="left" w:pos="5220" w:leader="none"/>
        <w:tab w:val="left" w:pos="6660" w:leader="none"/>
        <w:tab w:val="left" w:pos="8100" w:leader="none"/>
        <w:tab w:val="left" w:pos="9540" w:leader="none"/>
        <w:tab w:val="left" w:pos="10980" w:leader="none"/>
        <w:tab w:val="left" w:pos="12420" w:leader="none"/>
        <w:tab w:val="left" w:pos="13860" w:leader="none"/>
        <w:tab w:val="left" w:pos="15300" w:leader="none"/>
      </w:tabs>
      <w:suppressAutoHyphens w:val="true"/>
      <w:overflowPunct w:val="true"/>
      <w:bidi w:val="0"/>
      <w:spacing w:before="160" w:after="0"/>
      <w:jc w:val="left"/>
    </w:pPr>
    <w:rPr>
      <w:rFonts w:ascii="Times New Roman" w:hAnsi="Times New Roman" w:eastAsia="Times New Roman" w:cs="Times New Roman"/>
      <w:color w:val="00000A"/>
      <w:sz w:val="20"/>
      <w:szCs w:val="20"/>
      <w:lang w:val="pt-BR" w:eastAsia="zh-CN" w:bidi="ar-SA"/>
    </w:rPr>
  </w:style>
  <w:style w:type="paragraph" w:styleId="PadroLTGliederung2" w:customStyle="1">
    <w:name w:val="Padrão~LT~Gliederung 2"/>
    <w:basedOn w:val="PadroLTGliederung1"/>
    <w:qFormat/>
    <w:pPr>
      <w:spacing w:before="139" w:after="0"/>
    </w:pPr>
    <w:rPr/>
  </w:style>
  <w:style w:type="paragraph" w:styleId="PadroLTGliederung3" w:customStyle="1">
    <w:name w:val="Padrão~LT~Gliederung 3"/>
    <w:basedOn w:val="PadroLTGliederung2"/>
    <w:qFormat/>
    <w:pPr>
      <w:spacing w:before="120" w:after="0"/>
    </w:pPr>
    <w:rPr/>
  </w:style>
  <w:style w:type="paragraph" w:styleId="PadroLTGliederung4" w:customStyle="1">
    <w:name w:val="Padrão~LT~Gliederung 4"/>
    <w:basedOn w:val="PadroLTGliederung3"/>
    <w:qFormat/>
    <w:pPr>
      <w:spacing w:before="100" w:after="0"/>
    </w:pPr>
    <w:rPr/>
  </w:style>
  <w:style w:type="paragraph" w:styleId="PadroLTGliederung5" w:customStyle="1">
    <w:name w:val="Padrão~LT~Gliederung 5"/>
    <w:basedOn w:val="PadroLTGliederung4"/>
    <w:qFormat/>
    <w:pPr/>
    <w:rPr/>
  </w:style>
  <w:style w:type="paragraph" w:styleId="PadroLTGliederung6" w:customStyle="1">
    <w:name w:val="Padrão~LT~Gliederung 6"/>
    <w:basedOn w:val="PadroLTGliederung5"/>
    <w:qFormat/>
    <w:pPr/>
    <w:rPr/>
  </w:style>
  <w:style w:type="paragraph" w:styleId="PadroLTGliederung7" w:customStyle="1">
    <w:name w:val="Padrão~LT~Gliederung 7"/>
    <w:basedOn w:val="PadroLTGliederung6"/>
    <w:qFormat/>
    <w:pPr/>
    <w:rPr/>
  </w:style>
  <w:style w:type="paragraph" w:styleId="PadroLTGliederung8" w:customStyle="1">
    <w:name w:val="Padrão~LT~Gliederung 8"/>
    <w:basedOn w:val="PadroLTGliederung7"/>
    <w:qFormat/>
    <w:pPr/>
    <w:rPr/>
  </w:style>
  <w:style w:type="paragraph" w:styleId="PadroLTGliederung9" w:customStyle="1">
    <w:name w:val="Padrão~LT~Gliederung 9"/>
    <w:basedOn w:val="PadroLTGliederung8"/>
    <w:qFormat/>
    <w:pPr/>
    <w:rPr/>
  </w:style>
  <w:style w:type="paragraph" w:styleId="PadroLTTitel" w:customStyle="1">
    <w:name w:val="Padrão~LT~Titel"/>
    <w:qFormat/>
    <w:pPr>
      <w:widowControl/>
      <w:tabs>
        <w:tab w:val="left" w:pos="0" w:leader="none"/>
        <w:tab w:val="left" w:pos="1440" w:leader="none"/>
        <w:tab w:val="left" w:pos="2880" w:leader="none"/>
        <w:tab w:val="left" w:pos="4320" w:leader="none"/>
        <w:tab w:val="left" w:pos="5760" w:leader="none"/>
        <w:tab w:val="left" w:pos="7200" w:leader="none"/>
        <w:tab w:val="left" w:pos="8640" w:leader="none"/>
        <w:tab w:val="left" w:pos="10080" w:leader="none"/>
        <w:tab w:val="left" w:pos="11520" w:leader="none"/>
        <w:tab w:val="left" w:pos="12960" w:leader="none"/>
        <w:tab w:val="left" w:pos="14400" w:leader="none"/>
        <w:tab w:val="left" w:pos="15840" w:leader="none"/>
      </w:tabs>
      <w:suppressAutoHyphens w:val="true"/>
      <w:overflowPunct w:val="true"/>
      <w:bidi w:val="0"/>
      <w:jc w:val="center"/>
    </w:pPr>
    <w:rPr>
      <w:rFonts w:ascii="Times New Roman" w:hAnsi="Times New Roman" w:eastAsia="Times New Roman" w:cs="Times New Roman"/>
      <w:color w:val="00000A"/>
      <w:sz w:val="20"/>
      <w:szCs w:val="20"/>
      <w:lang w:val="pt-BR" w:eastAsia="zh-CN" w:bidi="ar-SA"/>
    </w:rPr>
  </w:style>
  <w:style w:type="paragraph" w:styleId="PadroLTUntertitel" w:customStyle="1">
    <w:name w:val="Padrão~LT~Untertitel"/>
    <w:qFormat/>
    <w:pPr>
      <w:widowControl/>
      <w:tabs>
        <w:tab w:val="left" w:pos="0" w:leader="none"/>
        <w:tab w:val="left" w:pos="1440" w:leader="none"/>
        <w:tab w:val="left" w:pos="2880" w:leader="none"/>
        <w:tab w:val="left" w:pos="4320" w:leader="none"/>
        <w:tab w:val="left" w:pos="5760" w:leader="none"/>
        <w:tab w:val="left" w:pos="7200" w:leader="none"/>
        <w:tab w:val="left" w:pos="8640" w:leader="none"/>
        <w:tab w:val="left" w:pos="10080" w:leader="none"/>
        <w:tab w:val="left" w:pos="11520" w:leader="none"/>
        <w:tab w:val="left" w:pos="12960" w:leader="none"/>
        <w:tab w:val="left" w:pos="14400" w:leader="none"/>
        <w:tab w:val="left" w:pos="15840" w:leader="none"/>
      </w:tabs>
      <w:suppressAutoHyphens w:val="true"/>
      <w:overflowPunct w:val="true"/>
      <w:bidi w:val="0"/>
      <w:spacing w:before="160" w:after="0"/>
      <w:jc w:val="center"/>
    </w:pPr>
    <w:rPr>
      <w:rFonts w:ascii="Times New Roman" w:hAnsi="Times New Roman" w:eastAsia="Times New Roman" w:cs="Times New Roman"/>
      <w:color w:val="00000A"/>
      <w:sz w:val="20"/>
      <w:szCs w:val="20"/>
      <w:lang w:val="pt-BR" w:eastAsia="zh-CN" w:bidi="ar-SA"/>
    </w:rPr>
  </w:style>
  <w:style w:type="paragraph" w:styleId="PadroLTNotizen" w:customStyle="1">
    <w:name w:val="Padrão~LT~Notizen"/>
    <w:qFormat/>
    <w:pPr>
      <w:widowControl/>
      <w:tabs>
        <w:tab w:val="left" w:pos="0" w:leader="none"/>
        <w:tab w:val="left" w:pos="1440" w:leader="none"/>
        <w:tab w:val="left" w:pos="2880" w:leader="none"/>
        <w:tab w:val="left" w:pos="4320" w:leader="none"/>
        <w:tab w:val="left" w:pos="5760" w:leader="none"/>
        <w:tab w:val="left" w:pos="7200" w:leader="none"/>
        <w:tab w:val="left" w:pos="8640" w:leader="none"/>
        <w:tab w:val="left" w:pos="10080" w:leader="none"/>
        <w:tab w:val="left" w:pos="11520" w:leader="none"/>
        <w:tab w:val="left" w:pos="12960" w:leader="none"/>
        <w:tab w:val="left" w:pos="14400" w:leader="none"/>
        <w:tab w:val="left" w:pos="15840" w:leader="none"/>
      </w:tabs>
      <w:suppressAutoHyphens w:val="true"/>
      <w:overflowPunct w:val="true"/>
      <w:bidi w:val="0"/>
      <w:spacing w:before="90" w:after="0"/>
      <w:jc w:val="left"/>
    </w:pPr>
    <w:rPr>
      <w:rFonts w:ascii="Times New Roman" w:hAnsi="Times New Roman" w:eastAsia="Times New Roman" w:cs="Times New Roman"/>
      <w:color w:val="00000A"/>
      <w:sz w:val="20"/>
      <w:szCs w:val="20"/>
      <w:lang w:val="pt-BR" w:eastAsia="zh-CN" w:bidi="ar-SA"/>
    </w:rPr>
  </w:style>
  <w:style w:type="paragraph" w:styleId="PadroLTHintergrundobjekte" w:customStyle="1">
    <w:name w:val="Padrão~LT~Hintergrundobjekte"/>
    <w:qFormat/>
    <w:pPr>
      <w:widowControl/>
      <w:tabs>
        <w:tab w:val="left" w:pos="0" w:leader="none"/>
        <w:tab w:val="left" w:pos="1440" w:leader="none"/>
        <w:tab w:val="left" w:pos="2880" w:leader="none"/>
        <w:tab w:val="left" w:pos="4320" w:leader="none"/>
        <w:tab w:val="left" w:pos="5760" w:leader="none"/>
        <w:tab w:val="left" w:pos="7200" w:leader="none"/>
        <w:tab w:val="left" w:pos="8640" w:leader="none"/>
        <w:tab w:val="left" w:pos="10080" w:leader="none"/>
        <w:tab w:val="left" w:pos="11520" w:leader="none"/>
        <w:tab w:val="left" w:pos="12960" w:leader="none"/>
        <w:tab w:val="left" w:pos="14400" w:leader="none"/>
        <w:tab w:val="left" w:pos="15840" w:leader="none"/>
      </w:tabs>
      <w:suppressAutoHyphens w:val="true"/>
      <w:overflowPunct w:val="true"/>
      <w:bidi w:val="0"/>
      <w:jc w:val="left"/>
    </w:pPr>
    <w:rPr>
      <w:rFonts w:ascii="Times New Roman" w:hAnsi="Times New Roman" w:eastAsia="Times New Roman" w:cs="Times New Roman"/>
      <w:color w:val="00000A"/>
      <w:sz w:val="20"/>
      <w:szCs w:val="20"/>
      <w:lang w:val="pt-BR" w:eastAsia="zh-CN" w:bidi="ar-SA"/>
    </w:rPr>
  </w:style>
  <w:style w:type="paragraph" w:styleId="PadroLTHintergrund" w:customStyle="1">
    <w:name w:val="Padrão~LT~Hintergrund"/>
    <w:qFormat/>
    <w:pPr>
      <w:widowControl/>
      <w:suppressAutoHyphens w:val="true"/>
      <w:overflowPunct w:val="true"/>
      <w:bidi w:val="0"/>
      <w:jc w:val="center"/>
    </w:pPr>
    <w:rPr>
      <w:rFonts w:ascii="Times New Roman" w:hAnsi="Times New Roman" w:eastAsia="Times New Roman" w:cs="Times New Roman"/>
      <w:color w:val="00000A"/>
      <w:sz w:val="20"/>
      <w:szCs w:val="20"/>
      <w:lang w:val="pt-BR" w:eastAsia="zh-CN" w:bidi="ar-SA"/>
    </w:rPr>
  </w:style>
  <w:style w:type="paragraph" w:styleId="Default1" w:customStyle="1">
    <w:name w:val="default"/>
    <w:qFormat/>
    <w:pPr>
      <w:widowControl/>
      <w:suppressAutoHyphens w:val="true"/>
      <w:overflowPunct w:val="true"/>
      <w:bidi w:val="0"/>
      <w:spacing w:lineRule="atLeast" w:line="200"/>
      <w:jc w:val="left"/>
    </w:pPr>
    <w:rPr>
      <w:rFonts w:ascii="Times New Roman" w:hAnsi="Times New Roman" w:eastAsia="Times New Roman" w:cs="Times New Roman"/>
      <w:color w:val="00000A"/>
      <w:sz w:val="20"/>
      <w:szCs w:val="20"/>
      <w:lang w:val="pt-BR" w:eastAsia="zh-CN" w:bidi="ar-SA"/>
    </w:rPr>
  </w:style>
  <w:style w:type="paragraph" w:styleId="Gray1" w:customStyle="1">
    <w:name w:val="gray1"/>
    <w:basedOn w:val="Default1"/>
    <w:qFormat/>
    <w:pPr/>
    <w:rPr/>
  </w:style>
  <w:style w:type="paragraph" w:styleId="Gray2" w:customStyle="1">
    <w:name w:val="gray2"/>
    <w:basedOn w:val="Default1"/>
    <w:qFormat/>
    <w:pPr/>
    <w:rPr/>
  </w:style>
  <w:style w:type="paragraph" w:styleId="Gray3" w:customStyle="1">
    <w:name w:val="gray3"/>
    <w:basedOn w:val="Default1"/>
    <w:qFormat/>
    <w:pPr/>
    <w:rPr/>
  </w:style>
  <w:style w:type="paragraph" w:styleId="Bw1" w:customStyle="1">
    <w:name w:val="bw1"/>
    <w:basedOn w:val="Default1"/>
    <w:qFormat/>
    <w:pPr/>
    <w:rPr/>
  </w:style>
  <w:style w:type="paragraph" w:styleId="Bw2" w:customStyle="1">
    <w:name w:val="bw2"/>
    <w:basedOn w:val="Default1"/>
    <w:qFormat/>
    <w:pPr/>
    <w:rPr/>
  </w:style>
  <w:style w:type="paragraph" w:styleId="Bw3" w:customStyle="1">
    <w:name w:val="bw3"/>
    <w:basedOn w:val="Default1"/>
    <w:qFormat/>
    <w:pPr/>
    <w:rPr/>
  </w:style>
  <w:style w:type="paragraph" w:styleId="Orange1" w:customStyle="1">
    <w:name w:val="orange1"/>
    <w:basedOn w:val="Default1"/>
    <w:qFormat/>
    <w:pPr/>
    <w:rPr/>
  </w:style>
  <w:style w:type="paragraph" w:styleId="Orange2" w:customStyle="1">
    <w:name w:val="orange2"/>
    <w:basedOn w:val="Default1"/>
    <w:qFormat/>
    <w:pPr/>
    <w:rPr/>
  </w:style>
  <w:style w:type="paragraph" w:styleId="Orange3" w:customStyle="1">
    <w:name w:val="orange3"/>
    <w:basedOn w:val="Default1"/>
    <w:qFormat/>
    <w:pPr/>
    <w:rPr/>
  </w:style>
  <w:style w:type="paragraph" w:styleId="Turquoise1" w:customStyle="1">
    <w:name w:val="turquoise1"/>
    <w:basedOn w:val="Default1"/>
    <w:qFormat/>
    <w:pPr/>
    <w:rPr/>
  </w:style>
  <w:style w:type="paragraph" w:styleId="Turquoise2" w:customStyle="1">
    <w:name w:val="turquoise2"/>
    <w:basedOn w:val="Default1"/>
    <w:qFormat/>
    <w:pPr/>
    <w:rPr/>
  </w:style>
  <w:style w:type="paragraph" w:styleId="Turquoise3" w:customStyle="1">
    <w:name w:val="turquoise3"/>
    <w:basedOn w:val="Default1"/>
    <w:qFormat/>
    <w:pPr/>
    <w:rPr/>
  </w:style>
  <w:style w:type="paragraph" w:styleId="Blue1" w:customStyle="1">
    <w:name w:val="blue1"/>
    <w:basedOn w:val="Default1"/>
    <w:qFormat/>
    <w:pPr/>
    <w:rPr/>
  </w:style>
  <w:style w:type="paragraph" w:styleId="Blue2" w:customStyle="1">
    <w:name w:val="blue2"/>
    <w:basedOn w:val="Default1"/>
    <w:qFormat/>
    <w:pPr/>
    <w:rPr/>
  </w:style>
  <w:style w:type="paragraph" w:styleId="Blue3" w:customStyle="1">
    <w:name w:val="blue3"/>
    <w:basedOn w:val="Default1"/>
    <w:qFormat/>
    <w:pPr/>
    <w:rPr/>
  </w:style>
  <w:style w:type="paragraph" w:styleId="Sun1" w:customStyle="1">
    <w:name w:val="sun1"/>
    <w:basedOn w:val="Default1"/>
    <w:qFormat/>
    <w:pPr/>
    <w:rPr/>
  </w:style>
  <w:style w:type="paragraph" w:styleId="Sun2" w:customStyle="1">
    <w:name w:val="sun2"/>
    <w:basedOn w:val="Default1"/>
    <w:qFormat/>
    <w:pPr/>
    <w:rPr/>
  </w:style>
  <w:style w:type="paragraph" w:styleId="Sun3" w:customStyle="1">
    <w:name w:val="sun3"/>
    <w:basedOn w:val="Default1"/>
    <w:qFormat/>
    <w:pPr/>
    <w:rPr/>
  </w:style>
  <w:style w:type="paragraph" w:styleId="Earth1" w:customStyle="1">
    <w:name w:val="earth1"/>
    <w:basedOn w:val="Default1"/>
    <w:qFormat/>
    <w:pPr/>
    <w:rPr/>
  </w:style>
  <w:style w:type="paragraph" w:styleId="Earth2" w:customStyle="1">
    <w:name w:val="earth2"/>
    <w:basedOn w:val="Default1"/>
    <w:qFormat/>
    <w:pPr/>
    <w:rPr/>
  </w:style>
  <w:style w:type="paragraph" w:styleId="Earth3" w:customStyle="1">
    <w:name w:val="earth3"/>
    <w:basedOn w:val="Default1"/>
    <w:qFormat/>
    <w:pPr/>
    <w:rPr/>
  </w:style>
  <w:style w:type="paragraph" w:styleId="Green1" w:customStyle="1">
    <w:name w:val="green1"/>
    <w:basedOn w:val="Default1"/>
    <w:qFormat/>
    <w:pPr/>
    <w:rPr/>
  </w:style>
  <w:style w:type="paragraph" w:styleId="Green2" w:customStyle="1">
    <w:name w:val="green2"/>
    <w:basedOn w:val="Default1"/>
    <w:qFormat/>
    <w:pPr/>
    <w:rPr/>
  </w:style>
  <w:style w:type="paragraph" w:styleId="Green3" w:customStyle="1">
    <w:name w:val="green3"/>
    <w:basedOn w:val="Default1"/>
    <w:qFormat/>
    <w:pPr/>
    <w:rPr/>
  </w:style>
  <w:style w:type="paragraph" w:styleId="Seetang1" w:customStyle="1">
    <w:name w:val="seetang1"/>
    <w:basedOn w:val="Default1"/>
    <w:qFormat/>
    <w:pPr/>
    <w:rPr/>
  </w:style>
  <w:style w:type="paragraph" w:styleId="Seetang2" w:customStyle="1">
    <w:name w:val="seetang2"/>
    <w:basedOn w:val="Default1"/>
    <w:qFormat/>
    <w:pPr/>
    <w:rPr/>
  </w:style>
  <w:style w:type="paragraph" w:styleId="Seetang3" w:customStyle="1">
    <w:name w:val="seetang3"/>
    <w:basedOn w:val="Default1"/>
    <w:qFormat/>
    <w:pPr/>
    <w:rPr/>
  </w:style>
  <w:style w:type="paragraph" w:styleId="Lightblue1" w:customStyle="1">
    <w:name w:val="lightblue1"/>
    <w:basedOn w:val="Default1"/>
    <w:qFormat/>
    <w:pPr/>
    <w:rPr/>
  </w:style>
  <w:style w:type="paragraph" w:styleId="Lightblue2" w:customStyle="1">
    <w:name w:val="lightblue2"/>
    <w:basedOn w:val="Default1"/>
    <w:qFormat/>
    <w:pPr/>
    <w:rPr/>
  </w:style>
  <w:style w:type="paragraph" w:styleId="Lightblue3" w:customStyle="1">
    <w:name w:val="lightblue3"/>
    <w:basedOn w:val="Default1"/>
    <w:qFormat/>
    <w:pPr/>
    <w:rPr/>
  </w:style>
  <w:style w:type="paragraph" w:styleId="Yellow1" w:customStyle="1">
    <w:name w:val="yellow1"/>
    <w:basedOn w:val="Default1"/>
    <w:qFormat/>
    <w:pPr/>
    <w:rPr/>
  </w:style>
  <w:style w:type="paragraph" w:styleId="Yellow2" w:customStyle="1">
    <w:name w:val="yellow2"/>
    <w:basedOn w:val="Default1"/>
    <w:qFormat/>
    <w:pPr/>
    <w:rPr/>
  </w:style>
  <w:style w:type="paragraph" w:styleId="Yellow3" w:customStyle="1">
    <w:name w:val="yellow3"/>
    <w:basedOn w:val="Default1"/>
    <w:qFormat/>
    <w:pPr/>
    <w:rPr/>
  </w:style>
  <w:style w:type="paragraph" w:styleId="Objetosdoplanodefundo" w:customStyle="1">
    <w:name w:val="Objetos do plano de fundo"/>
    <w:qFormat/>
    <w:pPr>
      <w:widowControl/>
      <w:tabs>
        <w:tab w:val="left" w:pos="0" w:leader="none"/>
        <w:tab w:val="left" w:pos="1440" w:leader="none"/>
        <w:tab w:val="left" w:pos="2880" w:leader="none"/>
        <w:tab w:val="left" w:pos="4320" w:leader="none"/>
        <w:tab w:val="left" w:pos="5760" w:leader="none"/>
        <w:tab w:val="left" w:pos="7200" w:leader="none"/>
        <w:tab w:val="left" w:pos="8640" w:leader="none"/>
        <w:tab w:val="left" w:pos="10080" w:leader="none"/>
        <w:tab w:val="left" w:pos="11520" w:leader="none"/>
        <w:tab w:val="left" w:pos="12960" w:leader="none"/>
        <w:tab w:val="left" w:pos="14400" w:leader="none"/>
        <w:tab w:val="left" w:pos="15840" w:leader="none"/>
      </w:tabs>
      <w:suppressAutoHyphens w:val="true"/>
      <w:overflowPunct w:val="true"/>
      <w:bidi w:val="0"/>
      <w:jc w:val="left"/>
    </w:pPr>
    <w:rPr>
      <w:rFonts w:ascii="Times New Roman" w:hAnsi="Times New Roman" w:eastAsia="Times New Roman" w:cs="Times New Roman"/>
      <w:color w:val="00000A"/>
      <w:sz w:val="20"/>
      <w:szCs w:val="20"/>
      <w:lang w:val="pt-BR" w:eastAsia="zh-CN" w:bidi="ar-SA"/>
    </w:rPr>
  </w:style>
  <w:style w:type="paragraph" w:styleId="Planodefundo" w:customStyle="1">
    <w:name w:val="Plano de fundo"/>
    <w:qFormat/>
    <w:pPr>
      <w:widowControl/>
      <w:suppressAutoHyphens w:val="true"/>
      <w:overflowPunct w:val="true"/>
      <w:bidi w:val="0"/>
      <w:jc w:val="center"/>
    </w:pPr>
    <w:rPr>
      <w:rFonts w:ascii="Times New Roman" w:hAnsi="Times New Roman" w:eastAsia="Times New Roman" w:cs="Times New Roman"/>
      <w:color w:val="00000A"/>
      <w:sz w:val="20"/>
      <w:szCs w:val="20"/>
      <w:lang w:val="pt-BR" w:eastAsia="zh-CN" w:bidi="ar-SA"/>
    </w:rPr>
  </w:style>
  <w:style w:type="paragraph" w:styleId="Notas" w:customStyle="1">
    <w:name w:val="Notas"/>
    <w:qFormat/>
    <w:pPr>
      <w:widowControl/>
      <w:tabs>
        <w:tab w:val="left" w:pos="0" w:leader="none"/>
        <w:tab w:val="left" w:pos="1440" w:leader="none"/>
        <w:tab w:val="left" w:pos="2880" w:leader="none"/>
        <w:tab w:val="left" w:pos="4320" w:leader="none"/>
        <w:tab w:val="left" w:pos="5760" w:leader="none"/>
        <w:tab w:val="left" w:pos="7200" w:leader="none"/>
        <w:tab w:val="left" w:pos="8640" w:leader="none"/>
        <w:tab w:val="left" w:pos="10080" w:leader="none"/>
        <w:tab w:val="left" w:pos="11520" w:leader="none"/>
        <w:tab w:val="left" w:pos="12960" w:leader="none"/>
        <w:tab w:val="left" w:pos="14400" w:leader="none"/>
        <w:tab w:val="left" w:pos="15840" w:leader="none"/>
      </w:tabs>
      <w:suppressAutoHyphens w:val="true"/>
      <w:overflowPunct w:val="true"/>
      <w:bidi w:val="0"/>
      <w:spacing w:before="90" w:after="0"/>
      <w:jc w:val="left"/>
    </w:pPr>
    <w:rPr>
      <w:rFonts w:ascii="Times New Roman" w:hAnsi="Times New Roman" w:eastAsia="Times New Roman" w:cs="Times New Roman"/>
      <w:color w:val="00000A"/>
      <w:sz w:val="20"/>
      <w:szCs w:val="20"/>
      <w:lang w:val="pt-BR" w:eastAsia="zh-CN" w:bidi="ar-SA"/>
    </w:rPr>
  </w:style>
  <w:style w:type="paragraph" w:styleId="Estruturadetpicos1" w:customStyle="1">
    <w:name w:val="Estrutura de tópicos 1"/>
    <w:qFormat/>
    <w:pPr>
      <w:widowControl/>
      <w:tabs>
        <w:tab w:val="left" w:pos="900" w:leader="none"/>
        <w:tab w:val="left" w:pos="2340" w:leader="none"/>
        <w:tab w:val="left" w:pos="3780" w:leader="none"/>
        <w:tab w:val="left" w:pos="5220" w:leader="none"/>
        <w:tab w:val="left" w:pos="6660" w:leader="none"/>
        <w:tab w:val="left" w:pos="8100" w:leader="none"/>
        <w:tab w:val="left" w:pos="9540" w:leader="none"/>
        <w:tab w:val="left" w:pos="10980" w:leader="none"/>
        <w:tab w:val="left" w:pos="12420" w:leader="none"/>
        <w:tab w:val="left" w:pos="13860" w:leader="none"/>
        <w:tab w:val="left" w:pos="15300" w:leader="none"/>
      </w:tabs>
      <w:suppressAutoHyphens w:val="true"/>
      <w:overflowPunct w:val="true"/>
      <w:bidi w:val="0"/>
      <w:spacing w:before="160" w:after="0"/>
      <w:jc w:val="left"/>
    </w:pPr>
    <w:rPr>
      <w:rFonts w:ascii="Times New Roman" w:hAnsi="Times New Roman" w:eastAsia="Times New Roman" w:cs="Times New Roman"/>
      <w:color w:val="00000A"/>
      <w:sz w:val="20"/>
      <w:szCs w:val="20"/>
      <w:lang w:val="pt-BR" w:eastAsia="zh-CN" w:bidi="ar-SA"/>
    </w:rPr>
  </w:style>
  <w:style w:type="paragraph" w:styleId="Estruturadetpicos2" w:customStyle="1">
    <w:name w:val="Estrutura de tópicos 2"/>
    <w:basedOn w:val="Estruturadetpicos1"/>
    <w:qFormat/>
    <w:pPr>
      <w:spacing w:before="139" w:after="0"/>
    </w:pPr>
    <w:rPr/>
  </w:style>
  <w:style w:type="paragraph" w:styleId="Estruturadetpicos3" w:customStyle="1">
    <w:name w:val="Estrutura de tópicos 3"/>
    <w:basedOn w:val="Estruturadetpicos2"/>
    <w:qFormat/>
    <w:pPr>
      <w:spacing w:before="120" w:after="0"/>
    </w:pPr>
    <w:rPr/>
  </w:style>
  <w:style w:type="paragraph" w:styleId="Estruturadetpicos4" w:customStyle="1">
    <w:name w:val="Estrutura de tópicos 4"/>
    <w:basedOn w:val="Estruturadetpicos3"/>
    <w:qFormat/>
    <w:pPr>
      <w:spacing w:before="100" w:after="0"/>
    </w:pPr>
    <w:rPr/>
  </w:style>
  <w:style w:type="paragraph" w:styleId="Estruturadetpicos5" w:customStyle="1">
    <w:name w:val="Estrutura de tópicos 5"/>
    <w:basedOn w:val="Estruturadetpicos4"/>
    <w:qFormat/>
    <w:pPr/>
    <w:rPr/>
  </w:style>
  <w:style w:type="paragraph" w:styleId="Estruturadetpicos6" w:customStyle="1">
    <w:name w:val="Estrutura de tópicos 6"/>
    <w:basedOn w:val="Estruturadetpicos5"/>
    <w:qFormat/>
    <w:pPr/>
    <w:rPr/>
  </w:style>
  <w:style w:type="paragraph" w:styleId="Estruturadetpicos7" w:customStyle="1">
    <w:name w:val="Estrutura de tópicos 7"/>
    <w:basedOn w:val="Estruturadetpicos6"/>
    <w:qFormat/>
    <w:pPr/>
    <w:rPr/>
  </w:style>
  <w:style w:type="paragraph" w:styleId="Estruturadetpicos8" w:customStyle="1">
    <w:name w:val="Estrutura de tópicos 8"/>
    <w:basedOn w:val="Estruturadetpicos7"/>
    <w:qFormat/>
    <w:pPr/>
    <w:rPr/>
  </w:style>
  <w:style w:type="paragraph" w:styleId="Estruturadetpicos9" w:customStyle="1">
    <w:name w:val="Estrutura de tópicos 9"/>
    <w:basedOn w:val="Estruturadetpicos8"/>
    <w:qFormat/>
    <w:pPr/>
    <w:rPr/>
  </w:style>
  <w:style w:type="paragraph" w:styleId="Rodap">
    <w:name w:val="Footer"/>
    <w:basedOn w:val="Normal"/>
    <w:link w:val="RodapChar"/>
    <w:uiPriority w:val="99"/>
    <w:pPr>
      <w:suppressLineNumbers/>
    </w:pPr>
    <w:rPr/>
  </w:style>
  <w:style w:type="paragraph" w:styleId="Corpodetexto31" w:customStyle="1">
    <w:name w:val="Corpo de texto 31"/>
    <w:basedOn w:val="Normal"/>
    <w:qFormat/>
    <w:pPr>
      <w:spacing w:lineRule="auto" w:line="360"/>
      <w:ind w:right="-1" w:hanging="0"/>
      <w:jc w:val="both"/>
    </w:pPr>
    <w:rPr>
      <w:sz w:val="24"/>
    </w:rPr>
  </w:style>
  <w:style w:type="paragraph" w:styleId="Contedodoquadro" w:customStyle="1">
    <w:name w:val="Conteúdo do quadro"/>
    <w:basedOn w:val="Normal"/>
    <w:qFormat/>
    <w:pPr/>
    <w:rPr/>
  </w:style>
  <w:style w:type="paragraph" w:styleId="Citaes" w:customStyle="1">
    <w:name w:val="Citações"/>
    <w:basedOn w:val="Normal"/>
    <w:qFormat/>
    <w:pPr/>
    <w:rPr/>
  </w:style>
  <w:style w:type="paragraph" w:styleId="Subttulo">
    <w:name w:val="Subtitle"/>
    <w:basedOn w:val="Ttulo31"/>
    <w:qFormat/>
    <w:pPr/>
    <w:rPr/>
  </w:style>
  <w:style w:type="paragraph" w:styleId="Indexheading">
    <w:name w:val="index heading"/>
    <w:basedOn w:val="Ttulo31"/>
    <w:qFormat/>
    <w:pPr/>
    <w:rPr/>
  </w:style>
  <w:style w:type="paragraph" w:styleId="Ttulodondicedefiguras" w:customStyle="1">
    <w:name w:val="Título do índice de figuras"/>
    <w:basedOn w:val="Ttulo31"/>
    <w:qFormat/>
    <w:pPr/>
    <w:rPr/>
  </w:style>
  <w:style w:type="paragraph" w:styleId="Ttulodondicedetabelas" w:customStyle="1">
    <w:name w:val="Título do índice de tabelas"/>
    <w:basedOn w:val="Ttulo31"/>
    <w:qFormat/>
    <w:pPr/>
    <w:rPr/>
  </w:style>
  <w:style w:type="paragraph" w:styleId="Ttulodendicedeautoridades1" w:customStyle="1">
    <w:name w:val="Título de índice de autoridades1"/>
    <w:basedOn w:val="Ttulo31"/>
    <w:qFormat/>
    <w:pPr/>
    <w:rPr/>
  </w:style>
  <w:style w:type="paragraph" w:styleId="Sumrio4">
    <w:name w:val="TOC 4"/>
    <w:basedOn w:val="Ndice"/>
    <w:uiPriority w:val="39"/>
    <w:pPr/>
    <w:rPr>
      <w:rFonts w:ascii="Cambria" w:hAnsi="Cambria" w:cs="Times New Roman" w:asciiTheme="minorHAnsi" w:hAnsiTheme="minorHAnsi"/>
      <w:sz w:val="22"/>
      <w:szCs w:val="22"/>
    </w:rPr>
  </w:style>
  <w:style w:type="paragraph" w:styleId="Sumrio1">
    <w:name w:val="TOC 1"/>
    <w:basedOn w:val="Ndice"/>
    <w:uiPriority w:val="39"/>
    <w:pPr>
      <w:spacing w:before="240" w:after="120"/>
    </w:pPr>
    <w:rPr>
      <w:rFonts w:ascii="Cambria" w:hAnsi="Cambria" w:cs="Times New Roman" w:asciiTheme="minorHAnsi" w:hAnsiTheme="minorHAnsi"/>
      <w:b/>
      <w:caps/>
      <w:sz w:val="22"/>
      <w:szCs w:val="22"/>
      <w:u w:val="single"/>
    </w:rPr>
  </w:style>
  <w:style w:type="paragraph" w:styleId="Textodebalo1" w:customStyle="1">
    <w:name w:val="Texto de balão1"/>
    <w:basedOn w:val="Normal"/>
    <w:qFormat/>
    <w:pPr/>
    <w:rPr>
      <w:rFonts w:ascii="Tahoma" w:hAnsi="Tahoma" w:cs="Tahoma"/>
      <w:sz w:val="16"/>
      <w:szCs w:val="16"/>
    </w:rPr>
  </w:style>
  <w:style w:type="paragraph" w:styleId="Cabealho">
    <w:name w:val="Header"/>
    <w:basedOn w:val="Normal"/>
    <w:uiPriority w:val="99"/>
    <w:pPr>
      <w:tabs>
        <w:tab w:val="center" w:pos="4252" w:leader="none"/>
        <w:tab w:val="right" w:pos="8504" w:leader="none"/>
      </w:tabs>
    </w:pPr>
    <w:rPr/>
  </w:style>
  <w:style w:type="paragraph" w:styleId="Ttulododocumento">
    <w:name w:val="Title"/>
    <w:basedOn w:val="Ttulo11"/>
    <w:qFormat/>
    <w:rsid w:val="00e42270"/>
    <w:pPr>
      <w:jc w:val="center"/>
    </w:pPr>
    <w:rPr>
      <w:rFonts w:ascii="Arial" w:hAnsi="Arial" w:cs="Arial"/>
      <w:b/>
      <w:bCs/>
      <w:sz w:val="24"/>
      <w:szCs w:val="24"/>
    </w:rPr>
  </w:style>
  <w:style w:type="paragraph" w:styleId="TOCHeading">
    <w:name w:val="TOC Heading"/>
    <w:basedOn w:val="Ttulo1"/>
    <w:next w:val="Normal"/>
    <w:uiPriority w:val="39"/>
    <w:unhideWhenUsed/>
    <w:qFormat/>
    <w:rsid w:val="00f94723"/>
    <w:pPr>
      <w:keepLines/>
      <w:numPr>
        <w:ilvl w:val="0"/>
        <w:numId w:val="0"/>
      </w:numPr>
      <w:suppressAutoHyphens w:val="false"/>
      <w:overflowPunct w:val="false"/>
      <w:spacing w:lineRule="auto" w:line="276" w:before="480" w:after="0"/>
      <w:jc w:val="left"/>
    </w:pPr>
    <w:rPr>
      <w:rFonts w:ascii="Calibri" w:hAnsi="Calibri" w:eastAsia="ＭＳ ゴシック" w:cs="" w:asciiTheme="majorHAnsi" w:cstheme="majorBidi" w:eastAsiaTheme="majorEastAsia" w:hAnsiTheme="majorHAnsi"/>
      <w:b/>
      <w:bCs/>
      <w:color w:val="365F91" w:themeColor="accent1" w:themeShade="bf"/>
      <w:sz w:val="28"/>
      <w:szCs w:val="28"/>
      <w:lang w:eastAsia="pt-BR"/>
    </w:rPr>
  </w:style>
  <w:style w:type="paragraph" w:styleId="Sumrio2">
    <w:name w:val="TOC 2"/>
    <w:basedOn w:val="Normal"/>
    <w:next w:val="Normal"/>
    <w:autoRedefine/>
    <w:uiPriority w:val="39"/>
    <w:unhideWhenUsed/>
    <w:rsid w:val="00f94723"/>
    <w:pPr/>
    <w:rPr>
      <w:rFonts w:ascii="Cambria" w:hAnsi="Cambria" w:asciiTheme="minorHAnsi" w:hAnsiTheme="minorHAnsi"/>
      <w:b/>
      <w:smallCaps/>
      <w:sz w:val="22"/>
      <w:szCs w:val="22"/>
    </w:rPr>
  </w:style>
  <w:style w:type="paragraph" w:styleId="Sumrio3">
    <w:name w:val="TOC 3"/>
    <w:basedOn w:val="Normal"/>
    <w:next w:val="Normal"/>
    <w:autoRedefine/>
    <w:uiPriority w:val="39"/>
    <w:unhideWhenUsed/>
    <w:rsid w:val="00f94723"/>
    <w:pPr/>
    <w:rPr>
      <w:rFonts w:ascii="Cambria" w:hAnsi="Cambria" w:asciiTheme="minorHAnsi" w:hAnsiTheme="minorHAnsi"/>
      <w:smallCaps/>
      <w:sz w:val="22"/>
      <w:szCs w:val="22"/>
    </w:rPr>
  </w:style>
  <w:style w:type="paragraph" w:styleId="Sumrio5">
    <w:name w:val="TOC 5"/>
    <w:basedOn w:val="Normal"/>
    <w:next w:val="Normal"/>
    <w:autoRedefine/>
    <w:uiPriority w:val="39"/>
    <w:unhideWhenUsed/>
    <w:rsid w:val="00f94723"/>
    <w:pPr/>
    <w:rPr>
      <w:rFonts w:ascii="Cambria" w:hAnsi="Cambria" w:asciiTheme="minorHAnsi" w:hAnsiTheme="minorHAnsi"/>
      <w:sz w:val="22"/>
      <w:szCs w:val="22"/>
    </w:rPr>
  </w:style>
  <w:style w:type="paragraph" w:styleId="Sumrio6">
    <w:name w:val="TOC 6"/>
    <w:basedOn w:val="Normal"/>
    <w:next w:val="Normal"/>
    <w:autoRedefine/>
    <w:uiPriority w:val="39"/>
    <w:unhideWhenUsed/>
    <w:rsid w:val="00f94723"/>
    <w:pPr/>
    <w:rPr>
      <w:rFonts w:ascii="Cambria" w:hAnsi="Cambria" w:asciiTheme="minorHAnsi" w:hAnsiTheme="minorHAnsi"/>
      <w:sz w:val="22"/>
      <w:szCs w:val="22"/>
    </w:rPr>
  </w:style>
  <w:style w:type="paragraph" w:styleId="Sumrio7">
    <w:name w:val="TOC 7"/>
    <w:basedOn w:val="Normal"/>
    <w:next w:val="Normal"/>
    <w:autoRedefine/>
    <w:uiPriority w:val="39"/>
    <w:unhideWhenUsed/>
    <w:rsid w:val="00f94723"/>
    <w:pPr/>
    <w:rPr>
      <w:rFonts w:ascii="Cambria" w:hAnsi="Cambria" w:asciiTheme="minorHAnsi" w:hAnsiTheme="minorHAnsi"/>
      <w:sz w:val="22"/>
      <w:szCs w:val="22"/>
    </w:rPr>
  </w:style>
  <w:style w:type="paragraph" w:styleId="Sumrio8">
    <w:name w:val="TOC 8"/>
    <w:basedOn w:val="Normal"/>
    <w:next w:val="Normal"/>
    <w:autoRedefine/>
    <w:uiPriority w:val="39"/>
    <w:unhideWhenUsed/>
    <w:rsid w:val="00f94723"/>
    <w:pPr/>
    <w:rPr>
      <w:rFonts w:ascii="Cambria" w:hAnsi="Cambria" w:asciiTheme="minorHAnsi" w:hAnsiTheme="minorHAnsi"/>
      <w:sz w:val="22"/>
      <w:szCs w:val="22"/>
    </w:rPr>
  </w:style>
  <w:style w:type="paragraph" w:styleId="Sumrio9">
    <w:name w:val="TOC 9"/>
    <w:basedOn w:val="Normal"/>
    <w:next w:val="Normal"/>
    <w:autoRedefine/>
    <w:uiPriority w:val="39"/>
    <w:unhideWhenUsed/>
    <w:rsid w:val="00f94723"/>
    <w:pPr/>
    <w:rPr>
      <w:rFonts w:ascii="Cambria" w:hAnsi="Cambria" w:asciiTheme="minorHAnsi" w:hAnsiTheme="minorHAnsi"/>
      <w:sz w:val="22"/>
      <w:szCs w:val="22"/>
    </w:rPr>
  </w:style>
  <w:style w:type="paragraph" w:styleId="Index1">
    <w:name w:val="index 1"/>
    <w:basedOn w:val="Normal"/>
    <w:next w:val="Normal"/>
    <w:autoRedefine/>
    <w:uiPriority w:val="99"/>
    <w:unhideWhenUsed/>
    <w:qFormat/>
    <w:rsid w:val="00f94723"/>
    <w:pPr>
      <w:ind w:left="200" w:hanging="200"/>
    </w:pPr>
    <w:rPr/>
  </w:style>
  <w:style w:type="paragraph" w:styleId="Index2">
    <w:name w:val="index 2"/>
    <w:basedOn w:val="Normal"/>
    <w:next w:val="Normal"/>
    <w:autoRedefine/>
    <w:uiPriority w:val="99"/>
    <w:unhideWhenUsed/>
    <w:qFormat/>
    <w:rsid w:val="00f94723"/>
    <w:pPr>
      <w:ind w:left="400" w:hanging="200"/>
    </w:pPr>
    <w:rPr/>
  </w:style>
  <w:style w:type="paragraph" w:styleId="Index3">
    <w:name w:val="index 3"/>
    <w:basedOn w:val="Normal"/>
    <w:next w:val="Normal"/>
    <w:autoRedefine/>
    <w:uiPriority w:val="99"/>
    <w:unhideWhenUsed/>
    <w:qFormat/>
    <w:rsid w:val="00f94723"/>
    <w:pPr>
      <w:ind w:left="600" w:hanging="200"/>
    </w:pPr>
    <w:rPr/>
  </w:style>
  <w:style w:type="paragraph" w:styleId="Index4">
    <w:name w:val="index 4"/>
    <w:basedOn w:val="Normal"/>
    <w:next w:val="Normal"/>
    <w:autoRedefine/>
    <w:uiPriority w:val="99"/>
    <w:unhideWhenUsed/>
    <w:qFormat/>
    <w:rsid w:val="00f94723"/>
    <w:pPr>
      <w:ind w:left="800" w:hanging="200"/>
    </w:pPr>
    <w:rPr/>
  </w:style>
  <w:style w:type="paragraph" w:styleId="Index5">
    <w:name w:val="index 5"/>
    <w:basedOn w:val="Normal"/>
    <w:next w:val="Normal"/>
    <w:autoRedefine/>
    <w:uiPriority w:val="99"/>
    <w:unhideWhenUsed/>
    <w:qFormat/>
    <w:rsid w:val="00f94723"/>
    <w:pPr>
      <w:ind w:left="1000" w:hanging="200"/>
    </w:pPr>
    <w:rPr/>
  </w:style>
  <w:style w:type="paragraph" w:styleId="Index6">
    <w:name w:val="index 6"/>
    <w:basedOn w:val="Normal"/>
    <w:next w:val="Normal"/>
    <w:autoRedefine/>
    <w:uiPriority w:val="99"/>
    <w:unhideWhenUsed/>
    <w:qFormat/>
    <w:rsid w:val="00f94723"/>
    <w:pPr>
      <w:ind w:left="1200" w:hanging="200"/>
    </w:pPr>
    <w:rPr/>
  </w:style>
  <w:style w:type="paragraph" w:styleId="Index7">
    <w:name w:val="index 7"/>
    <w:basedOn w:val="Normal"/>
    <w:next w:val="Normal"/>
    <w:autoRedefine/>
    <w:uiPriority w:val="99"/>
    <w:unhideWhenUsed/>
    <w:qFormat/>
    <w:rsid w:val="00f94723"/>
    <w:pPr>
      <w:ind w:left="1400" w:hanging="200"/>
    </w:pPr>
    <w:rPr/>
  </w:style>
  <w:style w:type="paragraph" w:styleId="Index8">
    <w:name w:val="index 8"/>
    <w:basedOn w:val="Normal"/>
    <w:next w:val="Normal"/>
    <w:autoRedefine/>
    <w:uiPriority w:val="99"/>
    <w:unhideWhenUsed/>
    <w:qFormat/>
    <w:rsid w:val="00f94723"/>
    <w:pPr>
      <w:ind w:left="1600" w:hanging="200"/>
    </w:pPr>
    <w:rPr/>
  </w:style>
  <w:style w:type="paragraph" w:styleId="Index9">
    <w:name w:val="index 9"/>
    <w:basedOn w:val="Normal"/>
    <w:next w:val="Normal"/>
    <w:autoRedefine/>
    <w:uiPriority w:val="99"/>
    <w:unhideWhenUsed/>
    <w:qFormat/>
    <w:rsid w:val="00f94723"/>
    <w:pPr>
      <w:ind w:left="1800" w:hanging="200"/>
    </w:pPr>
    <w:rPr/>
  </w:style>
  <w:style w:type="paragraph" w:styleId="ListParagraph">
    <w:name w:val="List Paragraph"/>
    <w:basedOn w:val="Normal"/>
    <w:uiPriority w:val="34"/>
    <w:qFormat/>
    <w:rsid w:val="003c324a"/>
    <w:pPr>
      <w:spacing w:before="0" w:after="0"/>
      <w:ind w:left="720" w:hanging="0"/>
      <w:contextualSpacing/>
    </w:pPr>
    <w:rPr/>
  </w:style>
  <w:style w:type="paragraph" w:styleId="Corpodetextorecuado">
    <w:name w:val="Body Text Indent"/>
    <w:basedOn w:val="Normal"/>
    <w:pPr>
      <w:spacing w:before="0" w:after="120"/>
      <w:ind w:left="283" w:hanging="0"/>
    </w:pPr>
    <w:rPr/>
  </w:style>
  <w:style w:type="paragraph" w:styleId="Ttulo10">
    <w:name w:val="Título 10"/>
    <w:basedOn w:val="Ttulo"/>
    <w:qFormat/>
    <w:pPr/>
    <w:rPr/>
  </w:style>
  <w:style w:type="numbering" w:styleId="NoList" w:default="1">
    <w:name w:val="No List"/>
    <w:uiPriority w:val="99"/>
    <w:semiHidden/>
    <w:unhideWhenUsed/>
    <w:qFormat/>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table" w:styleId="TabeladeGrade1Claro-nfase6">
    <w:name w:val="Grid Table 1 Light Accent 6"/>
    <w:basedOn w:val="Tabelanormal"/>
    <w:uiPriority w:val="46"/>
    <w:rsid w:val="004f2be2"/>
    <w:tblPr>
      <w:tblStyleRowBandSize w:val="1"/>
      <w:tblStyleColBandSize w:val="1"/>
      <w:tblInd w:w="0" w:type="dxa"/>
      <w:tblBorders>
        <w:top w:val="single" w:color="FBD4B4" w:themeColor="accent6" w:themeTint="66" w:sz="4" w:space="0"/>
        <w:left w:val="single" w:color="FBD4B4" w:themeColor="accent6" w:themeTint="66" w:sz="4" w:space="0"/>
        <w:bottom w:val="single" w:color="FBD4B4" w:themeColor="accent6" w:themeTint="66" w:sz="4" w:space="0"/>
        <w:right w:val="single" w:color="FBD4B4" w:themeColor="accent6" w:themeTint="66" w:sz="4" w:space="0"/>
        <w:insideH w:val="single" w:color="FBD4B4" w:themeColor="accent6" w:themeTint="66" w:sz="4" w:space="0"/>
        <w:insideV w:val="single" w:color="FBD4B4" w:themeColor="accent6" w:themeTint="66" w:sz="4" w:space="0"/>
      </w:tblBorders>
      <w:tblCellMar>
        <w:top w:w="0" w:type="dxa"/>
        <w:left w:w="108" w:type="dxa"/>
        <w:bottom w:w="0" w:type="dxa"/>
        <w:right w:w="108" w:type="dxa"/>
      </w:tblCellMar>
    </w:tblPr>
    <w:tblStylePr w:type="firstRow">
      <w:rPr>
        <w:b/>
        <w:bCs/>
      </w:rPr>
      <w:tblPr/>
      <w:tcPr>
        <w:tcBorders>
          <w:bottom w:val="single" w:color="FABF8F" w:themeColor="accent6" w:sz="12" w:space="0"/>
        </w:tcBorders>
      </w:tcPr>
    </w:tblStylePr>
    <w:tblStylePr w:type="lastRow">
      <w:rPr>
        <w:b/>
        <w:bCs/>
      </w:rPr>
      <w:tblPr/>
      <w:tcPr>
        <w:tcBorders>
          <w:top w:val="double" w:color="FABF8F" w:themeColor="accent6" w:sz="2" w:space="0"/>
        </w:tcBorders>
      </w:tcPr>
    </w:tblStylePr>
    <w:tblStylePr w:type="firstCol">
      <w:rPr>
        <w:b/>
        <w:bCs/>
      </w:rPr>
      <w:tblPr/>
    </w:tblStylePr>
    <w:tblStylePr w:type="lastCol">
      <w:rPr>
        <w:b/>
        <w:bCs/>
      </w:rPr>
      <w:tblPr/>
    </w:tblStylePr>
  </w:style>
  <w:style w:type="table" w:styleId="TabeladeGrade1Claro-nfase5">
    <w:name w:val="Grid Table 1 Light Accent 5"/>
    <w:basedOn w:val="Tabelanormal"/>
    <w:uiPriority w:val="46"/>
    <w:rsid w:val="004f2be2"/>
    <w:tblPr>
      <w:tblStyleRowBandSize w:val="1"/>
      <w:tblStyleColBandSize w:val="1"/>
      <w:tblInd w:w="0" w:type="dxa"/>
      <w:tblBorders>
        <w:top w:val="single" w:color="B6DDE8" w:themeColor="accent5" w:themeTint="66" w:sz="4" w:space="0"/>
        <w:left w:val="single" w:color="B6DDE8" w:themeColor="accent5" w:themeTint="66" w:sz="4" w:space="0"/>
        <w:bottom w:val="single" w:color="B6DDE8" w:themeColor="accent5" w:themeTint="66" w:sz="4" w:space="0"/>
        <w:right w:val="single" w:color="B6DDE8" w:themeColor="accent5" w:themeTint="66" w:sz="4" w:space="0"/>
        <w:insideH w:val="single" w:color="B6DDE8" w:themeColor="accent5" w:themeTint="66" w:sz="4" w:space="0"/>
        <w:insideV w:val="single" w:color="B6DDE8" w:themeColor="accent5" w:themeTint="66" w:sz="4" w:space="0"/>
      </w:tblBorders>
      <w:tblCellMar>
        <w:top w:w="0" w:type="dxa"/>
        <w:left w:w="108" w:type="dxa"/>
        <w:bottom w:w="0" w:type="dxa"/>
        <w:right w:w="108" w:type="dxa"/>
      </w:tblCellMar>
    </w:tblPr>
    <w:tblStylePr w:type="firstRow">
      <w:rPr>
        <w:b/>
        <w:bCs/>
      </w:rPr>
      <w:tblPr/>
      <w:tcPr>
        <w:tcBorders>
          <w:bottom w:val="single" w:color="92CDDC" w:themeColor="accent5" w:sz="12" w:space="0"/>
        </w:tcBorders>
      </w:tcPr>
    </w:tblStylePr>
    <w:tblStylePr w:type="lastRow">
      <w:rPr>
        <w:b/>
        <w:bCs/>
      </w:rPr>
      <w:tblPr/>
      <w:tcPr>
        <w:tcBorders>
          <w:top w:val="double" w:color="92CDDC" w:themeColor="accent5" w:sz="2" w:space="0"/>
        </w:tcBorders>
      </w:tcPr>
    </w:tblStylePr>
    <w:tblStylePr w:type="firstCol">
      <w:rPr>
        <w:b/>
        <w:bCs/>
      </w:rPr>
      <w:tblPr/>
    </w:tblStylePr>
    <w:tblStylePr w:type="lastCol">
      <w:rPr>
        <w:b/>
        <w:bCs/>
      </w:rPr>
      <w:tblPr/>
    </w:tblStylePr>
  </w:style>
  <w:style w:type="table" w:styleId="TabeladeGrade1Claro-nfase4">
    <w:name w:val="Grid Table 1 Light Accent 4"/>
    <w:basedOn w:val="Tabelanormal"/>
    <w:uiPriority w:val="46"/>
    <w:rsid w:val="004f2be2"/>
    <w:tblPr>
      <w:tblStyleRowBandSize w:val="1"/>
      <w:tblStyleColBandSize w:val="1"/>
      <w:tblInd w:w="0" w:type="dxa"/>
      <w:tblBorders>
        <w:top w:val="single" w:color="CCC0D9" w:themeColor="accent4" w:themeTint="66" w:sz="4" w:space="0"/>
        <w:left w:val="single" w:color="CCC0D9" w:themeColor="accent4" w:themeTint="66" w:sz="4" w:space="0"/>
        <w:bottom w:val="single" w:color="CCC0D9" w:themeColor="accent4" w:themeTint="66" w:sz="4" w:space="0"/>
        <w:right w:val="single" w:color="CCC0D9" w:themeColor="accent4" w:themeTint="66" w:sz="4" w:space="0"/>
        <w:insideH w:val="single" w:color="CCC0D9" w:themeColor="accent4" w:themeTint="66" w:sz="4" w:space="0"/>
        <w:insideV w:val="single" w:color="CCC0D9" w:themeColor="accent4" w:themeTint="66" w:sz="4" w:space="0"/>
      </w:tblBorders>
      <w:tblCellMar>
        <w:top w:w="0" w:type="dxa"/>
        <w:left w:w="108" w:type="dxa"/>
        <w:bottom w:w="0" w:type="dxa"/>
        <w:right w:w="108" w:type="dxa"/>
      </w:tblCellMar>
    </w:tblPr>
    <w:tblStylePr w:type="firstRow">
      <w:rPr>
        <w:b/>
        <w:bCs/>
      </w:rPr>
      <w:tblPr/>
      <w:tcPr>
        <w:tcBorders>
          <w:bottom w:val="single" w:color="B2A1C7" w:themeColor="accent4" w:sz="12" w:space="0"/>
        </w:tcBorders>
      </w:tcPr>
    </w:tblStylePr>
    <w:tblStylePr w:type="lastRow">
      <w:rPr>
        <w:b/>
        <w:bCs/>
      </w:rPr>
      <w:tblPr/>
      <w:tcPr>
        <w:tcBorders>
          <w:top w:val="double" w:color="B2A1C7" w:themeColor="accent4" w:sz="2" w:space="0"/>
        </w:tcBorders>
      </w:tcPr>
    </w:tblStylePr>
    <w:tblStylePr w:type="firstCol">
      <w:rPr>
        <w:b/>
        <w:bCs/>
      </w:rPr>
      <w:tblPr/>
    </w:tblStylePr>
    <w:tblStylePr w:type="lastCol">
      <w:rPr>
        <w:b/>
        <w:bCs/>
      </w:rPr>
      <w:tblPr/>
    </w:tblStylePr>
  </w:style>
  <w:style w:type="table" w:styleId="TabeladeGrade1Claro-nfase3">
    <w:name w:val="Grid Table 1 Light Accent 3"/>
    <w:basedOn w:val="Tabelanormal"/>
    <w:uiPriority w:val="46"/>
    <w:rsid w:val="004f2be2"/>
    <w:tblPr>
      <w:tblStyleRowBandSize w:val="1"/>
      <w:tblStyleColBandSize w:val="1"/>
      <w:tblInd w:w="0" w:type="dxa"/>
      <w:tblBorders>
        <w:top w:val="single" w:color="D6E3BC" w:themeColor="accent3" w:themeTint="66" w:sz="4" w:space="0"/>
        <w:left w:val="single" w:color="D6E3BC" w:themeColor="accent3" w:themeTint="66" w:sz="4" w:space="0"/>
        <w:bottom w:val="single" w:color="D6E3BC" w:themeColor="accent3" w:themeTint="66" w:sz="4" w:space="0"/>
        <w:right w:val="single" w:color="D6E3BC" w:themeColor="accent3" w:themeTint="66" w:sz="4" w:space="0"/>
        <w:insideH w:val="single" w:color="D6E3BC" w:themeColor="accent3" w:themeTint="66" w:sz="4" w:space="0"/>
        <w:insideV w:val="single" w:color="D6E3BC" w:themeColor="accent3" w:themeTint="66" w:sz="4" w:space="0"/>
      </w:tblBorders>
      <w:tblCellMar>
        <w:top w:w="0" w:type="dxa"/>
        <w:left w:w="108" w:type="dxa"/>
        <w:bottom w:w="0" w:type="dxa"/>
        <w:right w:w="108" w:type="dxa"/>
      </w:tblCellMar>
    </w:tblPr>
    <w:tblStylePr w:type="firstRow">
      <w:rPr>
        <w:b/>
        <w:bCs/>
      </w:rPr>
      <w:tblPr/>
      <w:tcPr>
        <w:tcBorders>
          <w:bottom w:val="single" w:color="C2D69B" w:themeColor="accent3" w:sz="12" w:space="0"/>
        </w:tcBorders>
      </w:tcPr>
    </w:tblStylePr>
    <w:tblStylePr w:type="lastRow">
      <w:rPr>
        <w:b/>
        <w:bCs/>
      </w:rPr>
      <w:tblPr/>
      <w:tcPr>
        <w:tcBorders>
          <w:top w:val="double" w:color="C2D69B" w:themeColor="accent3" w:sz="2" w:space="0"/>
        </w:tcBorders>
      </w:tcPr>
    </w:tblStylePr>
    <w:tblStylePr w:type="firstCol">
      <w:rPr>
        <w:b/>
        <w:bCs/>
      </w:rPr>
      <w:tblPr/>
    </w:tblStylePr>
    <w:tblStylePr w:type="lastCol">
      <w:rPr>
        <w:b/>
        <w:bCs/>
      </w:rPr>
      <w:tblPr/>
    </w:tblStylePr>
  </w:style>
  <w:style w:type="table" w:styleId="TabeladeGrade1Claro-nfase1">
    <w:name w:val="Grid Table 1 Light Accent 1"/>
    <w:basedOn w:val="Tabelanormal"/>
    <w:uiPriority w:val="46"/>
    <w:rsid w:val="004f2be2"/>
    <w:tblPr>
      <w:tblStyleRowBandSize w:val="1"/>
      <w:tblStyleColBandSize w:val="1"/>
      <w:tblInd w:w="0" w:type="dxa"/>
      <w:tblBorders>
        <w:top w:val="single" w:color="B8CCE4" w:themeColor="accent1" w:themeTint="66" w:sz="4" w:space="0"/>
        <w:left w:val="single" w:color="B8CCE4" w:themeColor="accent1" w:themeTint="66" w:sz="4" w:space="0"/>
        <w:bottom w:val="single" w:color="B8CCE4" w:themeColor="accent1" w:themeTint="66" w:sz="4" w:space="0"/>
        <w:right w:val="single" w:color="B8CCE4" w:themeColor="accent1" w:themeTint="66" w:sz="4" w:space="0"/>
        <w:insideH w:val="single" w:color="B8CCE4" w:themeColor="accent1" w:themeTint="66" w:sz="4" w:space="0"/>
        <w:insideV w:val="single" w:color="B8CCE4" w:themeColor="accent1" w:themeTint="66" w:sz="4" w:space="0"/>
      </w:tblBorders>
      <w:tblCellMar>
        <w:top w:w="0" w:type="dxa"/>
        <w:left w:w="108" w:type="dxa"/>
        <w:bottom w:w="0" w:type="dxa"/>
        <w:right w:w="108" w:type="dxa"/>
      </w:tblCellMar>
    </w:tblPr>
    <w:tblStylePr w:type="firstRow">
      <w:rPr>
        <w:b/>
        <w:bCs/>
      </w:rPr>
      <w:tblPr/>
      <w:tcPr>
        <w:tcBorders>
          <w:bottom w:val="single" w:color="95B3D7" w:themeColor="accent1" w:sz="12" w:space="0"/>
        </w:tcBorders>
      </w:tcPr>
    </w:tblStylePr>
    <w:tblStylePr w:type="lastRow">
      <w:rPr>
        <w:b/>
        <w:bCs/>
      </w:rPr>
      <w:tblPr/>
      <w:tcPr>
        <w:tcBorders>
          <w:top w:val="double" w:color="95B3D7" w:themeColor="accent1" w:sz="2" w:space="0"/>
        </w:tcBorders>
      </w:tcPr>
    </w:tblStylePr>
    <w:tblStylePr w:type="firstCol">
      <w:rPr>
        <w:b/>
        <w:bCs/>
      </w:rPr>
      <w:tblPr/>
    </w:tblStylePr>
    <w:tblStylePr w:type="lastCol">
      <w:rPr>
        <w:b/>
        <w:bCs/>
      </w:rPr>
      <w:tblPr/>
    </w:tblStylePr>
  </w:style>
  <w:style w:type="table" w:styleId="TabeladeGrade1Claro">
    <w:name w:val="Grid Table 1 Light"/>
    <w:basedOn w:val="Tabelanormal"/>
    <w:uiPriority w:val="46"/>
    <w:rsid w:val="004f2be2"/>
    <w:tblPr>
      <w:tblStyleRowBandSize w:val="1"/>
      <w:tblStyleColBandSize w:val="1"/>
      <w:tblInd w:w="0" w:type="dxa"/>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CellMar>
        <w:top w:w="0" w:type="dxa"/>
        <w:left w:w="108" w:type="dxa"/>
        <w:bottom w:w="0" w:type="dxa"/>
        <w:right w:w="108" w:type="dxa"/>
      </w:tblCellMar>
    </w:tblPr>
    <w:tblStylePr w:type="firstRow">
      <w:rPr>
        <w:b/>
        <w:bCs/>
      </w:rPr>
      <w:tblPr/>
      <w:tcPr>
        <w:tcBorders>
          <w:bottom w:val="single" w:color="666666" w:themeColor="text1" w:sz="12" w:space="0"/>
        </w:tcBorders>
      </w:tcPr>
    </w:tblStylePr>
    <w:tblStylePr w:type="lastRow">
      <w:rPr>
        <w:b/>
        <w:bCs/>
      </w:rPr>
      <w:tblPr/>
      <w:tcPr>
        <w:tcBorders>
          <w:top w:val="double" w:color="666666" w:themeColor="text1" w:sz="2" w:space="0"/>
        </w:tcBorders>
      </w:tcPr>
    </w:tblStylePr>
    <w:tblStylePr w:type="firstCol">
      <w:rPr>
        <w:b/>
        <w:bCs/>
      </w:rPr>
      <w:tblPr/>
    </w:tblStylePr>
    <w:tblStylePr w:type="lastCol">
      <w:rPr>
        <w:b/>
        <w:bCs/>
      </w:rPr>
      <w:tblPr/>
    </w:tblStylePr>
  </w:style>
  <w:style w:type="table" w:styleId="TabeladeGrade3-nfase2">
    <w:name w:val="Grid Table 3 Accent 2"/>
    <w:basedOn w:val="Tabelanormal"/>
    <w:uiPriority w:val="48"/>
    <w:rsid w:val="004f2be2"/>
    <w:tblPr>
      <w:tblStyleRowBandSize w:val="1"/>
      <w:tblStyleColBandSize w:val="1"/>
      <w:tblInd w:w="0" w:type="dxa"/>
      <w:tblBorders>
        <w:top w:val="single" w:color="D99594" w:themeColor="accent2" w:themeTint="99" w:sz="4" w:space="0"/>
        <w:left w:val="single" w:color="D99594" w:themeColor="accent2" w:themeTint="99" w:sz="4" w:space="0"/>
        <w:bottom w:val="single" w:color="D99594" w:themeColor="accent2" w:themeTint="99" w:sz="4" w:space="0"/>
        <w:right w:val="single" w:color="D99594" w:themeColor="accent2" w:themeTint="99" w:sz="4" w:space="0"/>
        <w:insideH w:val="single" w:color="D99594" w:themeColor="accent2" w:themeTint="99" w:sz="4" w:space="0"/>
        <w:insideV w:val="single" w:color="D99594" w:themeColor="accent2" w:themeTint="99" w:sz="4" w:space="0"/>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rPr>
      <w:tblPr/>
      <w:tcPr>
        <w:tcBorders>
          <w:top w:val="nil"/>
          <w:left w:val="nil"/>
          <w:bottom w:val="nil"/>
          <w:insideH w:val="nil"/>
          <w:insideV w:val="nil"/>
        </w:tcBorders>
        <w:shd w:val="clear" w:color="auto" w:fill="FFFFFF" w:themeFill="background1"/>
      </w:tcPr>
    </w:tblStylePr>
    <w:tblStylePr w:type="lastCol">
      <w:rPr>
        <w:i/>
      </w:rPr>
      <w:tblPr/>
      <w:tcPr>
        <w:tcBorders>
          <w:top w:val="nil"/>
          <w:bottom w:val="nil"/>
          <w:right w:val="nil"/>
          <w:insideH w:val="nil"/>
          <w:insideV w:val="nil"/>
        </w:tcBorders>
        <w:shd w:val="clear" w:color="auto" w:fill="FFFFFF" w:themeFill="background1"/>
      </w:tcPr>
    </w:tblStylePr>
    <w:tblStylePr w:type="band1Vert">
      <w:tblPr/>
      <w:tcPr>
        <w:shd w:val="clear" w:color="auto" w:fill="F2DBDB" w:themeFill="accent2" w:themeFillTint="33"/>
      </w:tcPr>
    </w:tblStylePr>
    <w:tblStylePr w:type="band1Horz">
      <w:tblPr/>
      <w:tcPr>
        <w:shd w:val="clear" w:color="auto" w:fill="F2DBDB" w:themeFill="accent2" w:themeFillTint="33"/>
      </w:tcPr>
    </w:tblStylePr>
    <w:tblStylePr w:type="neCell">
      <w:tblPr/>
      <w:tcPr>
        <w:tcBorders>
          <w:bottom w:val="single" w:color="D99594" w:themeColor="accent2" w:sz="4" w:space="0"/>
        </w:tcBorders>
      </w:tcPr>
    </w:tblStylePr>
    <w:tblStylePr w:type="nwCell">
      <w:tblPr/>
      <w:tcPr>
        <w:tcBorders>
          <w:bottom w:val="single" w:color="D99594" w:themeColor="accent2" w:sz="4" w:space="0"/>
        </w:tcBorders>
      </w:tcPr>
    </w:tblStylePr>
    <w:tblStylePr w:type="seCell">
      <w:tblPr/>
      <w:tcPr>
        <w:tcBorders>
          <w:top w:val="single" w:color="D99594" w:themeColor="accent2" w:sz="4" w:space="0"/>
        </w:tcBorders>
      </w:tcPr>
    </w:tblStylePr>
    <w:tblStylePr w:type="swCell">
      <w:tblPr/>
      <w:tcPr>
        <w:tcBorders>
          <w:top w:val="single" w:color="D99594" w:themeColor="accent2" w:sz="4" w:space="0"/>
        </w:tcBorders>
      </w:tcPr>
    </w:tblStylePr>
  </w:style>
  <w:style w:type="table" w:styleId="TabeladeGrade4-nfase3">
    <w:name w:val="Grid Table 4 Accent 3"/>
    <w:basedOn w:val="Tabelanormal"/>
    <w:uiPriority w:val="49"/>
    <w:rsid w:val="004f2be2"/>
    <w:tblPr>
      <w:tblStyleRowBandSize w:val="1"/>
      <w:tblStyleColBandSize w:val="1"/>
      <w:tblInd w:w="0" w:type="dxa"/>
      <w:tblBorders>
        <w:top w:val="single" w:color="C2D69B" w:themeColor="accent3" w:themeTint="99" w:sz="4" w:space="0"/>
        <w:left w:val="single" w:color="C2D69B" w:themeColor="accent3" w:themeTint="99" w:sz="4" w:space="0"/>
        <w:bottom w:val="single" w:color="C2D69B" w:themeColor="accent3" w:themeTint="99" w:sz="4" w:space="0"/>
        <w:right w:val="single" w:color="C2D69B" w:themeColor="accent3" w:themeTint="99" w:sz="4" w:space="0"/>
        <w:insideH w:val="single" w:color="C2D69B" w:themeColor="accent3" w:themeTint="99" w:sz="4" w:space="0"/>
        <w:insideV w:val="single" w:color="C2D69B" w:themeColor="accent3" w:themeTint="99" w:sz="4" w:space="0"/>
      </w:tblBorders>
      <w:tblCellMar>
        <w:top w:w="0" w:type="dxa"/>
        <w:left w:w="108" w:type="dxa"/>
        <w:bottom w:w="0" w:type="dxa"/>
        <w:right w:w="108" w:type="dxa"/>
      </w:tblCellMar>
    </w:tblPr>
    <w:tblStylePr w:type="firstRow">
      <w:rPr>
        <w:b/>
        <w:bCs/>
        <w:color w:val="FFFFFF" w:themeColor="background1"/>
      </w:rPr>
      <w:tblPr/>
      <w:tcPr>
        <w:tcBorders>
          <w:top w:val="single" w:color="9BBB59" w:themeColor="accent3" w:sz="4" w:space="0"/>
          <w:left w:val="single" w:color="9BBB59" w:themeColor="accent3" w:sz="4" w:space="0"/>
          <w:bottom w:val="single" w:color="9BBB59" w:themeColor="accent3" w:sz="4" w:space="0"/>
          <w:right w:val="single" w:color="9BBB59" w:themeColor="accent3" w:sz="4" w:space="0"/>
          <w:insideH w:val="nil"/>
          <w:insideV w:val="nil"/>
        </w:tcBorders>
        <w:shd w:val="clear" w:color="auto" w:fill="9BBB59" w:themeFill="accent3"/>
      </w:tcPr>
    </w:tblStylePr>
    <w:tblStylePr w:type="lastRow">
      <w:rPr>
        <w:b/>
        <w:bCs/>
      </w:rPr>
      <w:tblPr/>
      <w:tcPr>
        <w:tcBorders>
          <w:top w:val="double" w:color="9BBB59" w:themeColor="accent3" w:sz="4" w:space="0"/>
        </w:tcBorders>
      </w:tcPr>
    </w:tblStylePr>
    <w:tblStylePr w:type="firstCol">
      <w:rPr>
        <w:b/>
        <w:bCs/>
      </w:rPr>
      <w:tblPr/>
    </w:tblStylePr>
    <w:tblStylePr w:type="lastCol">
      <w:rPr>
        <w:b/>
        <w:bCs/>
      </w:rPr>
      <w:tbl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eladaLista3-nfase1">
    <w:name w:val="List Table 3 Accent 1"/>
    <w:basedOn w:val="Tabelanormal"/>
    <w:uiPriority w:val="48"/>
    <w:rsid w:val="004f2be2"/>
    <w:tblPr>
      <w:tblStyleRowBandSize w:val="1"/>
      <w:tblStyleColBandSize w:val="1"/>
      <w:tblInd w:w="0" w:type="dxa"/>
      <w:tblBorders>
        <w:top w:val="single" w:color="4F81BD" w:themeColor="accent1" w:sz="4" w:space="0"/>
        <w:left w:val="single" w:color="4F81BD" w:themeColor="accent1" w:sz="4" w:space="0"/>
        <w:bottom w:val="single" w:color="4F81BD" w:themeColor="accent1" w:sz="4" w:space="0"/>
        <w:right w:val="single" w:color="4F81BD" w:themeColor="accent1" w:sz="4" w:space="0"/>
      </w:tblBorders>
      <w:tblCellMar>
        <w:top w:w="0" w:type="dxa"/>
        <w:left w:w="108" w:type="dxa"/>
        <w:bottom w:w="0" w:type="dxa"/>
        <w:right w:w="108" w:type="dxa"/>
      </w:tblCellMar>
    </w:tblPr>
    <w:tblStylePr w:type="firstRow">
      <w:rPr>
        <w:b/>
        <w:bCs/>
        <w:color w:val="FFFFFF" w:themeColor="background1"/>
      </w:rPr>
      <w:tblPr/>
      <w:tcPr>
        <w:shd w:val="clear" w:color="auto" w:fill="4F81BD" w:themeFill="accent1"/>
      </w:tcPr>
    </w:tblStylePr>
    <w:tblStylePr w:type="lastRow">
      <w:rPr>
        <w:b/>
        <w:bCs/>
      </w:rPr>
      <w:tblPr/>
      <w:tcPr>
        <w:tcBorders>
          <w:top w:val="double" w:color="4F81BD" w:themeColor="accent1" w:sz="4" w:space="0"/>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color="4F81BD" w:themeColor="accent1" w:sz="4" w:space="0"/>
          <w:right w:val="single" w:color="4F81BD" w:themeColor="accent1" w:sz="4" w:space="0"/>
        </w:tcBorders>
      </w:tcPr>
    </w:tblStylePr>
    <w:tblStylePr w:type="band1Horz">
      <w:tblPr/>
      <w:tcPr>
        <w:tcBorders>
          <w:top w:val="single" w:color="4F81BD" w:themeColor="accent1" w:sz="4" w:space="0"/>
          <w:bottom w:val="single" w:color="4F81BD" w:themeColor="accent1" w:sz="4" w:space="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color="4F81BD" w:themeColor="accent1" w:sz="4" w:space="0"/>
          <w:left w:val="nil"/>
        </w:tcBorders>
      </w:tcPr>
    </w:tblStylePr>
    <w:tblStylePr w:type="swCell">
      <w:tblPr/>
      <w:tcPr>
        <w:tcBorders>
          <w:top w:val="double" w:color="4F81BD" w:themeColor="accent1" w:sz="4" w:space="0"/>
          <w:right w:val="nil"/>
        </w:tcBorders>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image" Target="media/image2.png"/><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hyperlink" Target="http://www.planalto.gov.br/ccivil_03/Constituicao/Constituicao.htm" TargetMode="External"/><Relationship Id="rId19" Type="http://schemas.openxmlformats.org/officeDocument/2006/relationships/hyperlink" Target="http://www.planalto.gov.br/ccivil_03/Leis/L8078.htm" TargetMode="External"/><Relationship Id="rId20" Type="http://schemas.openxmlformats.org/officeDocument/2006/relationships/hyperlink" Target="http://bvsms.saude.gov.br/bvs/saudelegis/gm/2004/prt2073_28_09_2004.html" TargetMode="External"/><Relationship Id="rId21" Type="http://schemas.openxmlformats.org/officeDocument/2006/relationships/hyperlink" Target="http://bvsms.saude.gov.br/bvs/saudelegis/gm/2013/prt1274_25_06_2013.html" TargetMode="External"/><Relationship Id="rId22" Type="http://schemas.openxmlformats.org/officeDocument/2006/relationships/hyperlink" Target="http://www.saude.ba.gov.br/portalcib/images/arquivos/Portarias/2013/PT_MS_N_1097_22.05.2006.pdf" TargetMode="External"/><Relationship Id="rId23" Type="http://schemas.openxmlformats.org/officeDocument/2006/relationships/hyperlink" Target="http://bvsms.saude.gov.br/bvs/saudelegis/sas/2004/prt0587_07_10_2004.html" TargetMode="External"/><Relationship Id="rId24" Type="http://schemas.openxmlformats.org/officeDocument/2006/relationships/hyperlink" Target="http://www.saude.sc.gov.br/conselhos_de_saude/CIB/" TargetMode="External"/><Relationship Id="rId25" Type="http://schemas.openxmlformats.org/officeDocument/2006/relationships/hyperlink" Target="http://www.saude.sc.gov.br/conselhos_de_saude/CIB/" TargetMode="External"/><Relationship Id="rId26" Type="http://schemas.openxmlformats.org/officeDocument/2006/relationships/hyperlink" Target="http://www.saude.ms.gov.br/controle/ShowFile.php?id=145293" TargetMode="External"/><Relationship Id="rId27" Type="http://schemas.openxmlformats.org/officeDocument/2006/relationships/numbering" Target="numbering.xml"/><Relationship Id="rId28" Type="http://schemas.openxmlformats.org/officeDocument/2006/relationships/fontTable" Target="fontTable.xml"/><Relationship Id="rId29" Type="http://schemas.openxmlformats.org/officeDocument/2006/relationships/settings" Target="settings.xml"/><Relationship Id="rId30" Type="http://schemas.openxmlformats.org/officeDocument/2006/relationships/theme" Target="theme/theme1.xml"/><Relationship Id="rId31" Type="http://schemas.openxmlformats.org/officeDocument/2006/relationships/glossaryDocument" Target="glossary/document.xml"/><Relationship Id="rId32" Type="http://schemas.openxmlformats.org/officeDocument/2006/relationships/customXml" Target="../customXml/item1.xml"/>
</Relationships>
</file>

<file path=word/glossary/_rels/document.xml.rels><?xml version="1.0" encoding="UTF-8"?>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1" Type="http://schemas.openxmlformats.org/officeDocument/2006/relationships/styles" Target="styles.xml"/><Relationship Id="rId2" Type="http://schemas.openxmlformats.org/officeDocument/2006/relationships/settings" Target="settings.xml"/>
</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SimSun">
    <w:panose1 w:val="02010600030101010101"/>
    <w:charset w:val="86"/>
    <w:family w:val="auto"/>
    <w:pitch w:val="variable"/>
    <w:sig w:usb0="00000003" w:usb1="288F0000" w:usb2="00000016" w:usb3="00000000" w:csb0="00040001" w:csb1="00000000"/>
  </w:font>
  <w:font w:name="OpenSymbol">
    <w:altName w:val="Arial Unicode MS"/>
    <w:charset w:val="01"/>
    <w:family w:val="roman"/>
    <w:pitch w:val="variable"/>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YaHei">
    <w:panose1 w:val="020B0503020204020204"/>
    <w:charset w:val="88"/>
    <w:family w:val="auto"/>
    <w:pitch w:val="variable"/>
    <w:sig w:usb0="80000287" w:usb1="28CF3C52" w:usb2="00000016" w:usb3="00000000" w:csb0="0014001F" w:csb1="00000000"/>
  </w:font>
  <w:font w:name="Liberation Sans">
    <w:altName w:val="Arial"/>
    <w:charset w:val="00"/>
    <w:family w:val="swiss"/>
    <w:pitch w:val="variable"/>
  </w:font>
  <w:font w:name="Tahoma">
    <w:panose1 w:val="020B0604030504040204"/>
    <w:charset w:val="00"/>
    <w:family w:val="auto"/>
    <w:pitch w:val="variable"/>
    <w:sig w:usb0="E1002EFF" w:usb1="C000605B" w:usb2="00000029" w:usb3="00000000" w:csb0="000101FF" w:csb1="00000000"/>
  </w:font>
  <w:font w:name="Mangal">
    <w:altName w:val="Devanagari Sangam MN"/>
    <w:panose1 w:val="00000000000000000000"/>
    <w:charset w:val="01"/>
    <w:family w:val="roman"/>
    <w:notTrueType/>
    <w:pitch w:val="variable"/>
    <w:sig w:usb0="00002000" w:usb1="00000000" w:usb2="00000000" w:usb3="00000000" w:csb0="00000000"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Liberation Serif">
    <w:altName w:val="Times New Roman"/>
    <w:charset w:val="00"/>
    <w:family w:val="roman"/>
    <w:pitch w:val="variable"/>
  </w:font>
  <w:font w:name="ＭＳ 明朝">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810"/>
    <w:rsid w:val="00991810"/>
    <w:rsid w:val="00C52CC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pt-BR" w:eastAsia="pt-BR"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7083C0C6BC43740A2D8E5AB73AC8073">
    <w:name w:val="D7083C0C6BC43740A2D8E5AB73AC8073"/>
    <w:rsid w:val="00991810"/>
  </w:style>
  <w:style w:type="paragraph" w:customStyle="1" w:styleId="E438BEED2C8A5447A5170BF5D92B730B">
    <w:name w:val="E438BEED2C8A5447A5170BF5D92B730B"/>
    <w:rsid w:val="00991810"/>
  </w:style>
  <w:style w:type="paragraph" w:customStyle="1" w:styleId="8E16A0173624114F9BA5A1F4A7199B95">
    <w:name w:val="8E16A0173624114F9BA5A1F4A7199B95"/>
    <w:rsid w:val="00991810"/>
  </w:style>
  <w:style w:type="paragraph" w:customStyle="1" w:styleId="3B249189BB45EB4287D54AFEAF4E94A9">
    <w:name w:val="3B249189BB45EB4287D54AFEAF4E94A9"/>
    <w:rsid w:val="00991810"/>
  </w:style>
  <w:style w:type="paragraph" w:customStyle="1" w:styleId="806CF4D2E322BE48A0F801E626AF78EF">
    <w:name w:val="806CF4D2E322BE48A0F801E626AF78EF"/>
    <w:rsid w:val="00991810"/>
  </w:style>
  <w:style w:type="paragraph" w:customStyle="1" w:styleId="BC7DD8CE5F7EC6438824A5847E7D0D49">
    <w:name w:val="BC7DD8CE5F7EC6438824A5847E7D0D49"/>
    <w:rsid w:val="0099181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9DB1E1-B8F6-4A4D-91F4-FDFFD90E7D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381</TotalTime>
  <Application>LibreOffice/5.3.0.3$Windows_X86_64 LibreOffice_project/7074905676c47b82bbcfbea1aeefc84afe1c50e1</Application>
  <Pages>72</Pages>
  <Words>13841</Words>
  <Characters>77737</Characters>
  <CharactersWithSpaces>90577</CharactersWithSpaces>
  <Paragraphs>855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2015-11-01T14:26:00Z</dcterms:created>
  <dc:creator>Sabrina Vieira Da Luz</dc:creator>
  <dc:description/>
  <dc:language>pt-BR</dc:language>
  <cp:lastModifiedBy/>
  <cp:lastPrinted>2015-11-01T20:05:00Z</cp:lastPrinted>
  <dcterms:modified xsi:type="dcterms:W3CDTF">2017-03-15T10:20:18Z</dcterms:modified>
  <cp:revision>49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