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E338E">
        <w:rPr>
          <w:b/>
        </w:rPr>
        <w:t>122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>, em sua reunião ordinária</w:t>
      </w:r>
      <w:r w:rsidR="00747D35">
        <w:t xml:space="preserve"> </w:t>
      </w:r>
      <w:r w:rsidR="00122221" w:rsidRPr="00F30149">
        <w:t xml:space="preserve">do dia 12 </w:t>
      </w:r>
      <w:r w:rsidR="00122221" w:rsidRPr="004F1D85">
        <w:t>de maio de 2016,</w:t>
      </w:r>
    </w:p>
    <w:p w:rsidR="006C734B" w:rsidRPr="004F1D85" w:rsidRDefault="006C734B" w:rsidP="008C53C6">
      <w:pPr>
        <w:jc w:val="both"/>
      </w:pPr>
    </w:p>
    <w:p w:rsidR="00283ABC" w:rsidRDefault="006A12A6" w:rsidP="006A12A6">
      <w:pPr>
        <w:ind w:left="709"/>
        <w:jc w:val="both"/>
      </w:pPr>
      <w:r>
        <w:t xml:space="preserve">Considerando a Portaria 589/GM de 06 de abril de 2004, que estabelece mecanismos para organização e implantação de Redes </w:t>
      </w:r>
      <w:proofErr w:type="gramStart"/>
      <w:r>
        <w:t>Estaduais/Municipais</w:t>
      </w:r>
      <w:proofErr w:type="gramEnd"/>
      <w:r>
        <w:t xml:space="preserve"> de Atenção e Controle de Hanseníase;</w:t>
      </w:r>
    </w:p>
    <w:p w:rsidR="006A12A6" w:rsidRDefault="006A12A6" w:rsidP="006A12A6">
      <w:pPr>
        <w:ind w:left="709"/>
        <w:jc w:val="both"/>
      </w:pPr>
    </w:p>
    <w:p w:rsidR="006A12A6" w:rsidRDefault="006A12A6" w:rsidP="006A12A6">
      <w:pPr>
        <w:ind w:left="709"/>
        <w:jc w:val="both"/>
      </w:pPr>
      <w:r>
        <w:t>Considerando a Portaria 3.125/GM de 07 de outubro de 2010, que aprova as diretrizes para a vigilância, atenção e controle de hanseníase;</w:t>
      </w:r>
    </w:p>
    <w:p w:rsidR="006A12A6" w:rsidRDefault="006A12A6" w:rsidP="006A12A6">
      <w:pPr>
        <w:ind w:left="709"/>
        <w:jc w:val="both"/>
      </w:pPr>
    </w:p>
    <w:p w:rsidR="006A12A6" w:rsidRDefault="006A12A6" w:rsidP="006A12A6">
      <w:pPr>
        <w:ind w:left="709"/>
        <w:jc w:val="both"/>
      </w:pPr>
      <w:r>
        <w:t>Considerando a responsabilidade da atenção primária, em especial das equipes de saúde da família, na identificação e tratamento dos casos de hanseníase;</w:t>
      </w:r>
    </w:p>
    <w:p w:rsidR="006A12A6" w:rsidRDefault="006A12A6" w:rsidP="006A12A6">
      <w:pPr>
        <w:ind w:left="709"/>
        <w:jc w:val="both"/>
      </w:pPr>
    </w:p>
    <w:p w:rsidR="006A12A6" w:rsidRDefault="006A12A6" w:rsidP="006A12A6">
      <w:pPr>
        <w:ind w:left="709"/>
        <w:jc w:val="both"/>
      </w:pPr>
      <w:r>
        <w:t>Considerando o caráter infeccioso e crônico da hanseníase, que pode cursar com episódios agudos, com alto poder incapacitante e que demanda acompanhamento em longo prazo com assistência clínica, cirúrgica, reabilitadora e de vigilância epidemiológica;</w:t>
      </w:r>
    </w:p>
    <w:p w:rsidR="006A12A6" w:rsidRDefault="006A12A6" w:rsidP="006A12A6">
      <w:pPr>
        <w:ind w:left="709"/>
        <w:jc w:val="both"/>
      </w:pPr>
    </w:p>
    <w:p w:rsidR="006A12A6" w:rsidRDefault="006A12A6" w:rsidP="006A12A6">
      <w:pPr>
        <w:ind w:left="709"/>
        <w:jc w:val="both"/>
      </w:pPr>
      <w:r>
        <w:t xml:space="preserve">Considerando a necessidade de subsidiar tecnicamente os gestores estaduais e municipais de planejamento, </w:t>
      </w:r>
      <w:proofErr w:type="gramStart"/>
      <w:r>
        <w:t>implementação</w:t>
      </w:r>
      <w:proofErr w:type="gramEnd"/>
      <w:r>
        <w:t xml:space="preserve"> e monitoramento de serviços que atuem de modo integrado e articulado, com fluxo de referência e contra-referência definidos, que possibilitem a continuidade e a qualidade do atendimento em todos os níveis da atenção e a vigilância epidemiológica da hanseníase;</w:t>
      </w:r>
    </w:p>
    <w:p w:rsidR="006A12A6" w:rsidRDefault="006A12A6" w:rsidP="006A12A6">
      <w:pPr>
        <w:ind w:left="709"/>
        <w:jc w:val="both"/>
      </w:pPr>
    </w:p>
    <w:p w:rsidR="006A12A6" w:rsidRDefault="006A12A6" w:rsidP="006A12A6">
      <w:pPr>
        <w:ind w:left="709"/>
        <w:jc w:val="both"/>
      </w:pPr>
      <w:r>
        <w:t>Considerando a Portaria 594 de 29 de outubro de 2010 que em seu art. 1º traz – incluir na tabela de serviços especializados/classificação do SCNES – Sistema Nacional de Estabelecimentos de Saúde, o Serviço de Atenção Integral em Hanseníase.</w:t>
      </w:r>
    </w:p>
    <w:p w:rsidR="006A12A6" w:rsidRPr="004F1D85" w:rsidRDefault="006A12A6" w:rsidP="006A12A6">
      <w:pPr>
        <w:ind w:left="709"/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747D35">
        <w:rPr>
          <w:b/>
          <w:szCs w:val="28"/>
        </w:rPr>
        <w:t>APROVA</w:t>
      </w:r>
    </w:p>
    <w:p w:rsidR="00053AC3" w:rsidRPr="0093521C" w:rsidRDefault="00053AC3" w:rsidP="00053AC3">
      <w:pPr>
        <w:rPr>
          <w:b/>
        </w:rPr>
      </w:pPr>
    </w:p>
    <w:p w:rsidR="00053AC3" w:rsidRPr="007360D8" w:rsidRDefault="00F15FDA" w:rsidP="00F15FDA">
      <w:pPr>
        <w:pStyle w:val="PargrafodaLista"/>
        <w:ind w:left="0"/>
        <w:jc w:val="both"/>
      </w:pPr>
      <w:r w:rsidRPr="007360D8">
        <w:t>O cadastramento do Hospital Santa Teresa, localizado no Município de São Pedro de Alcântara, como Serviço de Referência Estadual em Hanseníase</w:t>
      </w:r>
      <w:r w:rsidR="006A12A6">
        <w:t xml:space="preserve"> Tipo III</w:t>
      </w:r>
      <w:r w:rsidR="006C734B" w:rsidRPr="007360D8">
        <w:t xml:space="preserve">. </w:t>
      </w:r>
    </w:p>
    <w:p w:rsidR="007F0C0E" w:rsidRPr="0093521C" w:rsidRDefault="007F0C0E" w:rsidP="007F0C0E">
      <w:pPr>
        <w:pStyle w:val="Recuodecorpodetexto2"/>
        <w:spacing w:after="0" w:line="240" w:lineRule="auto"/>
        <w:ind w:left="360"/>
        <w:jc w:val="both"/>
      </w:pPr>
    </w:p>
    <w:p w:rsidR="008D387C" w:rsidRPr="0093521C" w:rsidRDefault="008C53C6" w:rsidP="006A12A6">
      <w:pPr>
        <w:pStyle w:val="Ttulo"/>
        <w:ind w:left="4068" w:firstLine="888"/>
        <w:jc w:val="both"/>
      </w:pPr>
      <w:r w:rsidRPr="0093521C">
        <w:rPr>
          <w:szCs w:val="24"/>
        </w:rPr>
        <w:t xml:space="preserve">Florianópolis, </w:t>
      </w:r>
      <w:r w:rsidR="001D6832" w:rsidRPr="0093521C">
        <w:rPr>
          <w:szCs w:val="24"/>
        </w:rPr>
        <w:t>12 de maio</w:t>
      </w:r>
      <w:r w:rsidRPr="0093521C">
        <w:rPr>
          <w:szCs w:val="24"/>
        </w:rPr>
        <w:t xml:space="preserve"> de 2016</w:t>
      </w:r>
      <w:r w:rsidR="00B572B8" w:rsidRPr="0093521C">
        <w:rPr>
          <w:szCs w:val="24"/>
        </w:rPr>
        <w:t>.</w:t>
      </w:r>
    </w:p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4977"/>
    <w:rsid w:val="00747D35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300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2016-05-20T18:05:00Z</dcterms:created>
  <dcterms:modified xsi:type="dcterms:W3CDTF">2016-05-20T18:05:00Z</dcterms:modified>
</cp:coreProperties>
</file>