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652F5D">
            <w:pPr>
              <w:pStyle w:val="Cabealho"/>
              <w:ind w:left="-1184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652F5D">
            <w:pPr>
              <w:pStyle w:val="Cabealho"/>
              <w:ind w:left="-1184"/>
            </w:pPr>
          </w:p>
        </w:tc>
      </w:tr>
    </w:tbl>
    <w:p w:rsidR="00D85351" w:rsidRPr="00E71123" w:rsidRDefault="00872832" w:rsidP="00A746A6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</w:t>
      </w:r>
      <w:r w:rsidR="00AD0473">
        <w:rPr>
          <w:rFonts w:ascii="Arial" w:hAnsi="Arial" w:cs="Arial"/>
          <w:color w:val="000000"/>
        </w:rPr>
        <w:t>6</w:t>
      </w:r>
      <w:r w:rsidR="00127C4A">
        <w:rPr>
          <w:rFonts w:ascii="Arial" w:hAnsi="Arial" w:cs="Arial"/>
          <w:color w:val="000000"/>
        </w:rPr>
        <w:t>2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3B12D9" w:rsidRDefault="00D85351" w:rsidP="00E71123">
      <w:pPr>
        <w:spacing w:line="360" w:lineRule="auto"/>
        <w:ind w:left="-142" w:right="-41"/>
        <w:jc w:val="both"/>
      </w:pPr>
      <w:r w:rsidRPr="003B12D9">
        <w:t xml:space="preserve">A Comissão </w:t>
      </w:r>
      <w:proofErr w:type="spellStart"/>
      <w:r w:rsidRPr="003B12D9">
        <w:t>Intergestores</w:t>
      </w:r>
      <w:proofErr w:type="spellEnd"/>
      <w:r w:rsidR="001F0AC4" w:rsidRPr="003B12D9">
        <w:t xml:space="preserve"> </w:t>
      </w:r>
      <w:proofErr w:type="spellStart"/>
      <w:r w:rsidRPr="003B12D9">
        <w:t>Bipartite</w:t>
      </w:r>
      <w:proofErr w:type="spellEnd"/>
      <w:r w:rsidRPr="003B12D9">
        <w:t xml:space="preserve">, no uso </w:t>
      </w:r>
      <w:r w:rsidR="000611C4" w:rsidRPr="003B12D9">
        <w:t xml:space="preserve">de suas atribuições, </w:t>
      </w:r>
      <w:r w:rsidR="0017256A" w:rsidRPr="003B12D9">
        <w:rPr>
          <w:i/>
        </w:rPr>
        <w:t>ad referendum</w:t>
      </w:r>
      <w:r w:rsidR="0017256A" w:rsidRPr="003B12D9">
        <w:t>,</w:t>
      </w:r>
    </w:p>
    <w:p w:rsidR="00E367D6" w:rsidRDefault="00E367D6" w:rsidP="00E367D6">
      <w:pPr>
        <w:pStyle w:val="Recuodecorpodetexto21"/>
        <w:ind w:firstLine="0"/>
        <w:jc w:val="both"/>
      </w:pPr>
    </w:p>
    <w:p w:rsidR="00127C4A" w:rsidRPr="006715DA" w:rsidRDefault="00127C4A" w:rsidP="00127C4A">
      <w:pPr>
        <w:pStyle w:val="Ttulo"/>
        <w:spacing w:after="120" w:line="360" w:lineRule="auto"/>
        <w:ind w:left="539"/>
        <w:jc w:val="both"/>
        <w:outlineLvl w:val="0"/>
        <w:rPr>
          <w:szCs w:val="24"/>
        </w:rPr>
      </w:pPr>
      <w:r w:rsidRPr="00825C39">
        <w:rPr>
          <w:szCs w:val="24"/>
        </w:rPr>
        <w:t>Considerando a Portaria nº 140 de 17 de fevereiro de 2014 que redefine os</w:t>
      </w:r>
      <w:r w:rsidRPr="006715DA">
        <w:rPr>
          <w:szCs w:val="24"/>
        </w:rPr>
        <w:t xml:space="preserve"> critérios e parâmetros para organização, planejamento, monitoramento, controle e avaliação dos estabelecimentos de saúde habilitados na atenção especializada em oncologia e define as condições estruturais, de funcionamento e de recursos humanos para a habilitação destes estabelecimentos no âmbito do Sistema Único de Saúde (SUS)</w:t>
      </w:r>
      <w:r>
        <w:rPr>
          <w:szCs w:val="24"/>
        </w:rPr>
        <w:t>;</w:t>
      </w:r>
    </w:p>
    <w:p w:rsidR="00127C4A" w:rsidRPr="006715DA" w:rsidRDefault="00127C4A" w:rsidP="00127C4A">
      <w:pPr>
        <w:pStyle w:val="Ttulo"/>
        <w:spacing w:after="120" w:line="360" w:lineRule="auto"/>
        <w:ind w:left="539"/>
        <w:jc w:val="both"/>
        <w:outlineLvl w:val="0"/>
        <w:rPr>
          <w:szCs w:val="24"/>
        </w:rPr>
      </w:pPr>
      <w:r w:rsidRPr="006715DA">
        <w:rPr>
          <w:szCs w:val="24"/>
        </w:rPr>
        <w:t>Considerando que a Portaria nº 140 de 17 de fevereiro de 2014 estabelece em seu anexo V as habilitações</w:t>
      </w:r>
      <w:r>
        <w:rPr>
          <w:szCs w:val="24"/>
        </w:rPr>
        <w:t xml:space="preserve"> existentes,</w:t>
      </w:r>
      <w:r w:rsidRPr="006715DA">
        <w:rPr>
          <w:szCs w:val="24"/>
        </w:rPr>
        <w:t xml:space="preserve"> por Estados</w:t>
      </w:r>
      <w:r>
        <w:rPr>
          <w:szCs w:val="24"/>
        </w:rPr>
        <w:t>,</w:t>
      </w:r>
      <w:r w:rsidRPr="006715DA">
        <w:rPr>
          <w:szCs w:val="24"/>
        </w:rPr>
        <w:t xml:space="preserve"> dos serviços </w:t>
      </w:r>
      <w:r>
        <w:rPr>
          <w:szCs w:val="24"/>
        </w:rPr>
        <w:t>em</w:t>
      </w:r>
      <w:r w:rsidRPr="006715DA">
        <w:rPr>
          <w:szCs w:val="24"/>
        </w:rPr>
        <w:t xml:space="preserve"> oncologia de média e alta complexidade;</w:t>
      </w:r>
    </w:p>
    <w:p w:rsidR="00127C4A" w:rsidRDefault="00127C4A" w:rsidP="00127C4A">
      <w:pPr>
        <w:pStyle w:val="Ttulo"/>
        <w:spacing w:after="120" w:line="360" w:lineRule="auto"/>
        <w:ind w:left="540"/>
        <w:jc w:val="both"/>
        <w:outlineLvl w:val="0"/>
        <w:rPr>
          <w:szCs w:val="24"/>
        </w:rPr>
      </w:pPr>
      <w:r w:rsidRPr="006715DA">
        <w:rPr>
          <w:szCs w:val="24"/>
        </w:rPr>
        <w:t>Considerando</w:t>
      </w:r>
      <w:r>
        <w:rPr>
          <w:szCs w:val="24"/>
        </w:rPr>
        <w:t xml:space="preserve"> o Anexo I da Portaria de Consolidação nº 3, de 28/09/2017</w:t>
      </w:r>
      <w:r w:rsidRPr="006715DA">
        <w:rPr>
          <w:szCs w:val="24"/>
        </w:rPr>
        <w:t>, que estabelece diretrizes para a organização da Rede de Atenção à Saúde no âmbito do SUS;</w:t>
      </w:r>
    </w:p>
    <w:p w:rsidR="00127C4A" w:rsidRPr="006715DA" w:rsidRDefault="00127C4A" w:rsidP="00127C4A">
      <w:pPr>
        <w:pStyle w:val="Ttulo"/>
        <w:spacing w:after="120" w:line="360" w:lineRule="auto"/>
        <w:ind w:left="540"/>
        <w:jc w:val="both"/>
        <w:outlineLvl w:val="0"/>
        <w:rPr>
          <w:szCs w:val="24"/>
        </w:rPr>
      </w:pPr>
      <w:r>
        <w:rPr>
          <w:bCs/>
          <w:szCs w:val="24"/>
        </w:rPr>
        <w:t xml:space="preserve">Considerando o Capitulo I, do Anexo IV, </w:t>
      </w:r>
      <w:r>
        <w:rPr>
          <w:szCs w:val="24"/>
        </w:rPr>
        <w:t>da Portaria de Consolidação nº 3, de 28/09/2017</w:t>
      </w:r>
      <w:r w:rsidRPr="006715DA">
        <w:rPr>
          <w:szCs w:val="24"/>
        </w:rPr>
        <w:t xml:space="preserve">, que </w:t>
      </w:r>
      <w:r w:rsidRPr="006715DA">
        <w:rPr>
          <w:bCs/>
          <w:szCs w:val="24"/>
        </w:rPr>
        <w:t>r</w:t>
      </w:r>
      <w:r w:rsidRPr="006715DA">
        <w:rPr>
          <w:szCs w:val="24"/>
        </w:rPr>
        <w:t>edefine a Rede de Atenção à Saúde das Pessoas com Doenças Crônicas no âmbito do Sistema Único de Saúde (SUS) e estabelece diretrizes para a organização das suas linhas de cuidado;</w:t>
      </w:r>
    </w:p>
    <w:p w:rsidR="00127C4A" w:rsidRPr="006715DA" w:rsidRDefault="00127C4A" w:rsidP="00127C4A">
      <w:pPr>
        <w:spacing w:after="120" w:line="360" w:lineRule="auto"/>
        <w:ind w:left="540"/>
        <w:jc w:val="both"/>
        <w:rPr>
          <w:bCs/>
          <w:iCs/>
        </w:rPr>
      </w:pPr>
      <w:r w:rsidRPr="006715DA">
        <w:rPr>
          <w:bCs/>
          <w:iCs/>
        </w:rPr>
        <w:t>Considerando a Portaria SAS/MS nº 886, de 17 de setembro de 2015 que prorroga, em caráter excepcional, os prazos estabelecidos na Portaria nº 140</w:t>
      </w:r>
      <w:bookmarkStart w:id="0" w:name="OLE_LINK1"/>
      <w:bookmarkStart w:id="1" w:name="OLE_LINK2"/>
      <w:r w:rsidRPr="006715DA">
        <w:rPr>
          <w:bCs/>
          <w:iCs/>
        </w:rPr>
        <w:t>/SAS/MS de 27 de fevereiro de 2014</w:t>
      </w:r>
      <w:bookmarkEnd w:id="0"/>
      <w:bookmarkEnd w:id="1"/>
      <w:r w:rsidRPr="006715DA">
        <w:rPr>
          <w:bCs/>
          <w:iCs/>
        </w:rPr>
        <w:t>, que tratam dos prazos para habilitação dos serviços na alta complexidade em oncologia, fica prorrogado, em caráter excepcional, até 29 de fevereiro de 2016;</w:t>
      </w:r>
    </w:p>
    <w:p w:rsidR="00127C4A" w:rsidRPr="006715DA" w:rsidRDefault="00127C4A" w:rsidP="00127C4A">
      <w:pPr>
        <w:spacing w:after="120" w:line="360" w:lineRule="auto"/>
        <w:ind w:left="539"/>
        <w:jc w:val="both"/>
      </w:pPr>
      <w:r w:rsidRPr="006715DA">
        <w:rPr>
          <w:bCs/>
          <w:iCs/>
        </w:rPr>
        <w:t xml:space="preserve">Considerando a necessidade de </w:t>
      </w:r>
      <w:r w:rsidRPr="006715DA">
        <w:t>ampliar a capacidade instalada e o volume de produção ou tipo de ofertas diagnósticas e terapêuticas e, levando-se em consideração a necessidade epidemiológica, de acesso e a insuficiência de cobertura assistencial, nas Regiões de Saúde em questão;</w:t>
      </w:r>
    </w:p>
    <w:p w:rsidR="00127C4A" w:rsidRDefault="00127C4A" w:rsidP="00127C4A">
      <w:pPr>
        <w:spacing w:after="120" w:line="360" w:lineRule="auto"/>
        <w:ind w:left="539"/>
        <w:jc w:val="both"/>
      </w:pPr>
      <w:r w:rsidRPr="006715DA">
        <w:lastRenderedPageBreak/>
        <w:t>Considerando as discussões realizadas pel</w:t>
      </w:r>
      <w:r>
        <w:t xml:space="preserve">os </w:t>
      </w:r>
      <w:r w:rsidRPr="006715DA">
        <w:t xml:space="preserve">municípios, no âmbito das Comissões </w:t>
      </w:r>
      <w:proofErr w:type="spellStart"/>
      <w:r w:rsidRPr="006715DA">
        <w:t>Intergestores</w:t>
      </w:r>
      <w:proofErr w:type="spellEnd"/>
      <w:r w:rsidRPr="006715DA">
        <w:t xml:space="preserve"> Regional - CIR e</w:t>
      </w:r>
      <w:r>
        <w:t xml:space="preserve"> a Deliberação nº 27/2018, da CIR do Médio Vale do Itajaí, de 06/09/2018.</w:t>
      </w:r>
    </w:p>
    <w:p w:rsidR="00127C4A" w:rsidRPr="006715DA" w:rsidRDefault="00127C4A" w:rsidP="00127C4A">
      <w:pPr>
        <w:pStyle w:val="Ttulo"/>
        <w:ind w:left="-180" w:firstLine="719"/>
        <w:jc w:val="both"/>
        <w:outlineLvl w:val="0"/>
        <w:rPr>
          <w:b/>
          <w:szCs w:val="24"/>
        </w:rPr>
      </w:pPr>
      <w:r w:rsidRPr="006715DA">
        <w:rPr>
          <w:b/>
          <w:szCs w:val="24"/>
        </w:rPr>
        <w:t>RESOLVE</w:t>
      </w:r>
    </w:p>
    <w:p w:rsidR="00127C4A" w:rsidRPr="006715DA" w:rsidRDefault="00127C4A" w:rsidP="00127C4A">
      <w:pPr>
        <w:pStyle w:val="Ttulo"/>
        <w:ind w:left="-180"/>
        <w:jc w:val="both"/>
        <w:outlineLvl w:val="0"/>
        <w:rPr>
          <w:b/>
          <w:szCs w:val="24"/>
        </w:rPr>
      </w:pPr>
    </w:p>
    <w:p w:rsidR="00127C4A" w:rsidRPr="006715DA" w:rsidRDefault="00127C4A" w:rsidP="00127C4A">
      <w:pPr>
        <w:pStyle w:val="Standard"/>
        <w:shd w:val="clear" w:color="auto" w:fill="FFFFFF"/>
        <w:spacing w:after="120" w:line="360" w:lineRule="auto"/>
        <w:ind w:firstLine="851"/>
        <w:jc w:val="both"/>
        <w:rPr>
          <w:rFonts w:eastAsia="Times New Roman" w:cs="Times New Roman"/>
        </w:rPr>
      </w:pPr>
      <w:r w:rsidRPr="006715DA">
        <w:rPr>
          <w:rFonts w:eastAsia="Times New Roman" w:cs="Times New Roman"/>
        </w:rPr>
        <w:t>Art. 1º</w:t>
      </w:r>
      <w:r>
        <w:rPr>
          <w:rFonts w:eastAsia="Times New Roman" w:cs="Times New Roman"/>
        </w:rPr>
        <w:t xml:space="preserve"> </w:t>
      </w:r>
      <w:r w:rsidRPr="006715DA">
        <w:rPr>
          <w:rFonts w:eastAsia="Times New Roman" w:cs="Times New Roman"/>
        </w:rPr>
        <w:t xml:space="preserve">Aprovar </w:t>
      </w:r>
      <w:r>
        <w:rPr>
          <w:rFonts w:eastAsia="Times New Roman" w:cs="Times New Roman"/>
        </w:rPr>
        <w:t xml:space="preserve">a alteração do </w:t>
      </w:r>
      <w:r w:rsidRPr="006715DA">
        <w:rPr>
          <w:rFonts w:eastAsia="Times New Roman" w:cs="Times New Roman"/>
        </w:rPr>
        <w:t xml:space="preserve">Plano de Ação da Rede de Atenção à Saúde das </w:t>
      </w:r>
      <w:r>
        <w:rPr>
          <w:rFonts w:eastAsia="Times New Roman" w:cs="Times New Roman"/>
        </w:rPr>
        <w:t>P</w:t>
      </w:r>
      <w:r w:rsidRPr="006715DA">
        <w:rPr>
          <w:rFonts w:eastAsia="Times New Roman" w:cs="Times New Roman"/>
        </w:rPr>
        <w:t xml:space="preserve">essoas com </w:t>
      </w:r>
      <w:r>
        <w:rPr>
          <w:rFonts w:eastAsia="Times New Roman" w:cs="Times New Roman"/>
        </w:rPr>
        <w:t>C</w:t>
      </w:r>
      <w:r w:rsidRPr="006715DA">
        <w:rPr>
          <w:rFonts w:eastAsia="Times New Roman" w:cs="Times New Roman"/>
        </w:rPr>
        <w:t>âncer em Santa Catarina</w:t>
      </w:r>
      <w:r>
        <w:rPr>
          <w:rFonts w:eastAsia="Times New Roman" w:cs="Times New Roman"/>
        </w:rPr>
        <w:t>.</w:t>
      </w:r>
    </w:p>
    <w:p w:rsidR="00127C4A" w:rsidRDefault="00127C4A" w:rsidP="00127C4A">
      <w:pPr>
        <w:pStyle w:val="Standard"/>
        <w:shd w:val="clear" w:color="auto" w:fill="FFFFFF"/>
        <w:spacing w:after="120" w:line="360" w:lineRule="auto"/>
        <w:ind w:firstLine="851"/>
        <w:jc w:val="both"/>
        <w:rPr>
          <w:rFonts w:eastAsia="Times New Roman" w:cs="Times New Roman"/>
        </w:rPr>
      </w:pPr>
      <w:r w:rsidRPr="004C6228">
        <w:rPr>
          <w:rFonts w:eastAsia="Times New Roman" w:cs="Times New Roman"/>
        </w:rPr>
        <w:t xml:space="preserve">Art. 2º Aprovar </w:t>
      </w:r>
      <w:r w:rsidRPr="007E0C4D">
        <w:rPr>
          <w:rFonts w:eastAsia="Times New Roman" w:cs="Times New Roman"/>
        </w:rPr>
        <w:t>a</w:t>
      </w:r>
      <w:r>
        <w:rPr>
          <w:rFonts w:eastAsia="Times New Roman" w:cs="Times New Roman"/>
        </w:rPr>
        <w:t xml:space="preserve"> exclusão da proposta de expansão da </w:t>
      </w:r>
      <w:r w:rsidRPr="005D1391">
        <w:rPr>
          <w:rFonts w:eastAsia="Times New Roman" w:cs="Times New Roman"/>
        </w:rPr>
        <w:t xml:space="preserve">Clínica CORB Clinica Radioterapia e </w:t>
      </w:r>
      <w:proofErr w:type="spellStart"/>
      <w:r w:rsidRPr="005D1391">
        <w:rPr>
          <w:rFonts w:eastAsia="Times New Roman" w:cs="Times New Roman"/>
        </w:rPr>
        <w:t>Megavoltagem</w:t>
      </w:r>
      <w:proofErr w:type="spellEnd"/>
      <w:r w:rsidRPr="005D1391">
        <w:rPr>
          <w:rFonts w:eastAsia="Times New Roman" w:cs="Times New Roman"/>
        </w:rPr>
        <w:t xml:space="preserve"> e a</w:t>
      </w:r>
      <w:r>
        <w:rPr>
          <w:rFonts w:eastAsia="Times New Roman" w:cs="Times New Roman"/>
        </w:rPr>
        <w:t xml:space="preserve"> inclusão do 2ª </w:t>
      </w:r>
      <w:proofErr w:type="gramStart"/>
      <w:r>
        <w:rPr>
          <w:rFonts w:eastAsia="Times New Roman" w:cs="Times New Roman"/>
        </w:rPr>
        <w:t>aparelho</w:t>
      </w:r>
      <w:proofErr w:type="gramEnd"/>
      <w:r>
        <w:rPr>
          <w:rFonts w:eastAsia="Times New Roman" w:cs="Times New Roman"/>
        </w:rPr>
        <w:t xml:space="preserve"> para o </w:t>
      </w:r>
      <w:r w:rsidRPr="005D1391">
        <w:rPr>
          <w:rFonts w:eastAsia="Times New Roman" w:cs="Times New Roman"/>
        </w:rPr>
        <w:t>Hospital Santo Antônio, ambos de Blumenau</w:t>
      </w:r>
      <w:r w:rsidRPr="007E0C4D">
        <w:rPr>
          <w:rFonts w:eastAsia="Times New Roman" w:cs="Times New Roman"/>
        </w:rPr>
        <w:t xml:space="preserve">, prevista no anexo V da Portaria SAS/MS nº 140/2014 e incorporação de novos serviços por macrorregião e respectivas Regiões de Saúde especificadas no quadro: </w:t>
      </w:r>
    </w:p>
    <w:p w:rsidR="00127C4A" w:rsidRPr="005B5246" w:rsidRDefault="00127C4A" w:rsidP="00127C4A">
      <w:pPr>
        <w:pStyle w:val="Legenda"/>
        <w:rPr>
          <w:b w:val="0"/>
          <w:sz w:val="24"/>
          <w:szCs w:val="24"/>
        </w:rPr>
      </w:pPr>
    </w:p>
    <w:tbl>
      <w:tblPr>
        <w:tblW w:w="9781" w:type="dxa"/>
        <w:tblInd w:w="-34" w:type="dxa"/>
        <w:tblLayout w:type="fixed"/>
        <w:tblLook w:val="0000"/>
      </w:tblPr>
      <w:tblGrid>
        <w:gridCol w:w="1843"/>
        <w:gridCol w:w="1418"/>
        <w:gridCol w:w="2267"/>
        <w:gridCol w:w="4253"/>
      </w:tblGrid>
      <w:tr w:rsidR="00127C4A" w:rsidRPr="00E46D12" w:rsidTr="00E263D5">
        <w:trPr>
          <w:tblHeader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Macrorregião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Município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Nome de serviço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rPr>
                <w:b/>
              </w:rPr>
              <w:t>N</w:t>
            </w:r>
            <w:r>
              <w:rPr>
                <w:b/>
              </w:rPr>
              <w:t>º</w:t>
            </w:r>
            <w:r w:rsidRPr="00E46D12">
              <w:rPr>
                <w:b/>
              </w:rPr>
              <w:t xml:space="preserve"> de equipamento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Grande Oeste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Chapecó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Leonir Vargas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Projeto expansão MS– Ampliação com segundo equipamento previsto para agosto de 201</w:t>
            </w:r>
            <w:r>
              <w:t>7</w:t>
            </w:r>
            <w:r w:rsidRPr="00E46D12">
              <w:t>, sem teto financeiro.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Sul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Tubarão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 xml:space="preserve">Hospital Nossa </w:t>
            </w:r>
            <w:r>
              <w:t>S</w:t>
            </w:r>
            <w:r w:rsidRPr="00E46D12">
              <w:t>enhora da Conceição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Projeto expansão MS – 1 equipamento previsão marco de 2018.</w:t>
            </w:r>
            <w:r>
              <w:t xml:space="preserve"> Sem teto financeiro.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Sul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Criciúma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São Jose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Possui um segundo equipamento sem teto definido na PPI – adquirido através de convenio MS nº 60182/2011 (SICONV Nº 760124/11), já em funcionamento, porém sem teto definido na PPI.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Serra Catarinense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Lages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Tereza Ramos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Um Equipamento adquirido com recurso estadual, sem habilitação, já em funcionamento e aguarda a habilitação e teto</w:t>
            </w:r>
            <w:r>
              <w:t xml:space="preserve"> financeiro</w:t>
            </w:r>
            <w:r w:rsidRPr="00E46D12">
              <w:t>.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CB6A41" w:rsidRDefault="00127C4A" w:rsidP="00E263D5">
            <w:pPr>
              <w:snapToGrid w:val="0"/>
              <w:jc w:val="center"/>
            </w:pPr>
            <w:r w:rsidRPr="00CB6A41">
              <w:t>Médio Vale do Rio Itajaí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Blumenau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Santo Antônio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Default="00127C4A" w:rsidP="00E263D5">
            <w:pPr>
              <w:jc w:val="center"/>
            </w:pPr>
            <w:r w:rsidRPr="00E46D12">
              <w:t>Expansão equipamento recurso estadual sem teto financeiro. Previsão</w:t>
            </w:r>
            <w:r>
              <w:t xml:space="preserve"> final de 2016</w:t>
            </w:r>
          </w:p>
          <w:p w:rsidR="00127C4A" w:rsidRPr="00FF538A" w:rsidRDefault="00127C4A" w:rsidP="00E263D5">
            <w:pPr>
              <w:jc w:val="center"/>
              <w:rPr>
                <w:color w:val="FF0000"/>
              </w:rPr>
            </w:pPr>
            <w:r w:rsidRPr="00FF538A">
              <w:rPr>
                <w:color w:val="FF0000"/>
              </w:rPr>
              <w:t>Projeto expansão MS – 1 equipamento previsto para 2018, sem teto financeiro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Meio Oeste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Joaçaba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Universitário Santa Terezinha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Projeto expansão MS–1 equipamento previsto para 201</w:t>
            </w:r>
            <w:r>
              <w:t>8</w:t>
            </w:r>
            <w:r w:rsidRPr="00E46D12">
              <w:t>, sem teto financeiro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Foz do Rio Itajaí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Itajaí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 xml:space="preserve">Hospital e maternidade Marieta </w:t>
            </w:r>
            <w:proofErr w:type="spellStart"/>
            <w:r w:rsidRPr="00E46D12">
              <w:t>Konder</w:t>
            </w:r>
            <w:proofErr w:type="spellEnd"/>
            <w:r w:rsidRPr="00E46D12">
              <w:t xml:space="preserve"> Bornhausen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Projeto expansão MS–1 equipamento previsto para 201</w:t>
            </w:r>
            <w:r>
              <w:t>8</w:t>
            </w:r>
            <w:r w:rsidRPr="00E46D12">
              <w:t>, sem teto financeiro</w:t>
            </w:r>
          </w:p>
        </w:tc>
      </w:tr>
      <w:tr w:rsidR="00127C4A" w:rsidRPr="00E46D12" w:rsidTr="00E263D5">
        <w:tc>
          <w:tcPr>
            <w:tcW w:w="55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Total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0</w:t>
            </w:r>
            <w:r>
              <w:rPr>
                <w:b/>
              </w:rPr>
              <w:t>5</w:t>
            </w:r>
            <w:r w:rsidRPr="00E46D12">
              <w:rPr>
                <w:b/>
              </w:rPr>
              <w:t xml:space="preserve"> equipamentos</w:t>
            </w:r>
          </w:p>
        </w:tc>
      </w:tr>
    </w:tbl>
    <w:p w:rsidR="00127C4A" w:rsidRDefault="00127C4A" w:rsidP="00127C4A">
      <w:pPr>
        <w:pStyle w:val="Ttulo"/>
        <w:spacing w:after="120" w:line="360" w:lineRule="auto"/>
        <w:jc w:val="both"/>
        <w:outlineLvl w:val="0"/>
        <w:rPr>
          <w:szCs w:val="24"/>
        </w:rPr>
      </w:pPr>
    </w:p>
    <w:p w:rsidR="00127C4A" w:rsidRPr="005D1391" w:rsidRDefault="00127C4A" w:rsidP="00127C4A">
      <w:pPr>
        <w:pStyle w:val="Standard"/>
        <w:shd w:val="clear" w:color="auto" w:fill="FFFFFF"/>
        <w:spacing w:after="120" w:line="360" w:lineRule="auto"/>
        <w:ind w:firstLine="851"/>
        <w:jc w:val="both"/>
        <w:rPr>
          <w:rFonts w:eastAsia="Times New Roman" w:cs="Times New Roman"/>
        </w:rPr>
      </w:pPr>
      <w:r w:rsidRPr="005D1391">
        <w:rPr>
          <w:rFonts w:eastAsia="Times New Roman" w:cs="Times New Roman"/>
        </w:rPr>
        <w:lastRenderedPageBreak/>
        <w:t xml:space="preserve">Art. </w:t>
      </w:r>
      <w:proofErr w:type="spellStart"/>
      <w:r w:rsidRPr="005D1391">
        <w:rPr>
          <w:rFonts w:eastAsia="Times New Roman" w:cs="Times New Roman"/>
        </w:rPr>
        <w:t>3ºAs</w:t>
      </w:r>
      <w:proofErr w:type="spellEnd"/>
      <w:r w:rsidRPr="005D1391">
        <w:rPr>
          <w:rFonts w:eastAsia="Times New Roman" w:cs="Times New Roman"/>
        </w:rPr>
        <w:t xml:space="preserve"> mudanças de fluxos somente serão alteradas após a publicação das habilitações pelo Ministério da Saúde, sendo que as referências devem continuar sendo as unidades já habilitadas;</w:t>
      </w:r>
    </w:p>
    <w:p w:rsidR="00127C4A" w:rsidRPr="005D1391" w:rsidRDefault="00127C4A" w:rsidP="00127C4A">
      <w:pPr>
        <w:pStyle w:val="Standard"/>
        <w:shd w:val="clear" w:color="auto" w:fill="FFFFFF"/>
        <w:spacing w:after="120" w:line="360" w:lineRule="auto"/>
        <w:ind w:firstLine="851"/>
        <w:jc w:val="both"/>
        <w:rPr>
          <w:rFonts w:eastAsia="Times New Roman" w:cs="Times New Roman"/>
        </w:rPr>
      </w:pPr>
      <w:r w:rsidRPr="005D1391">
        <w:rPr>
          <w:rFonts w:eastAsia="Times New Roman" w:cs="Times New Roman"/>
        </w:rPr>
        <w:t>Art. 4º As unidades relacionadas serão vistoriadas e deverão atender os requisitos especificados na Portaria SAS/MS nº 140/2014, conforme a sua classificação e atendendo os critérios de integralidade na assistência ao portador de câncer;</w:t>
      </w:r>
    </w:p>
    <w:p w:rsidR="00127C4A" w:rsidRPr="005D1391" w:rsidRDefault="00127C4A" w:rsidP="00127C4A">
      <w:pPr>
        <w:pStyle w:val="Standard"/>
        <w:shd w:val="clear" w:color="auto" w:fill="FFFFFF"/>
        <w:spacing w:after="120" w:line="360" w:lineRule="auto"/>
        <w:ind w:firstLine="851"/>
        <w:jc w:val="both"/>
        <w:rPr>
          <w:rFonts w:eastAsia="Times New Roman" w:cs="Times New Roman"/>
        </w:rPr>
      </w:pPr>
      <w:r w:rsidRPr="005D1391">
        <w:rPr>
          <w:rFonts w:eastAsia="Times New Roman" w:cs="Times New Roman"/>
        </w:rPr>
        <w:t xml:space="preserve">Art. 5º Para contemplar os serviços novos e a ampliação dos atendimentos hospitalares e ambulatoriais previstos na legislação e o cumprimento deste Plano, na consolidação de uma proposta de atendimento integral aos pacientes </w:t>
      </w:r>
      <w:proofErr w:type="spellStart"/>
      <w:r w:rsidRPr="005D1391">
        <w:rPr>
          <w:rFonts w:eastAsia="Times New Roman" w:cs="Times New Roman"/>
        </w:rPr>
        <w:t>oncológicos</w:t>
      </w:r>
      <w:proofErr w:type="spellEnd"/>
      <w:r w:rsidRPr="005D1391">
        <w:rPr>
          <w:rFonts w:eastAsia="Times New Roman" w:cs="Times New Roman"/>
        </w:rPr>
        <w:t>, são necessários recursos financeiros novos para custear essas ações;</w:t>
      </w:r>
    </w:p>
    <w:p w:rsidR="00127C4A" w:rsidRPr="005D1391" w:rsidRDefault="00127C4A" w:rsidP="00127C4A">
      <w:pPr>
        <w:pStyle w:val="Standard"/>
        <w:shd w:val="clear" w:color="auto" w:fill="FFFFFF"/>
        <w:spacing w:after="120" w:line="360" w:lineRule="auto"/>
        <w:ind w:firstLine="851"/>
        <w:jc w:val="both"/>
        <w:rPr>
          <w:rFonts w:eastAsia="Times New Roman" w:cs="Times New Roman"/>
        </w:rPr>
      </w:pPr>
      <w:r w:rsidRPr="005D1391">
        <w:rPr>
          <w:rFonts w:eastAsia="Times New Roman" w:cs="Times New Roman"/>
        </w:rPr>
        <w:t xml:space="preserve">Art. 6º Esta </w:t>
      </w:r>
      <w:r w:rsidRPr="00E86181">
        <w:rPr>
          <w:rFonts w:eastAsia="Times New Roman" w:cs="Times New Roman"/>
          <w:color w:val="FF0000"/>
        </w:rPr>
        <w:t xml:space="preserve">Deliberação altera o quadro de habilitações apresentados no Artigo 2º e o Art. 3º da Deliberação nº233/CIB/16, de 08/12/2016 </w:t>
      </w:r>
      <w:r w:rsidRPr="005D1391">
        <w:rPr>
          <w:rFonts w:eastAsia="Times New Roman" w:cs="Times New Roman"/>
        </w:rPr>
        <w:t xml:space="preserve">e dá nova redação no item nº </w:t>
      </w:r>
      <w:r>
        <w:rPr>
          <w:rFonts w:eastAsia="Times New Roman" w:cs="Times New Roman"/>
        </w:rPr>
        <w:t>3.4</w:t>
      </w:r>
      <w:r w:rsidRPr="005D1391">
        <w:rPr>
          <w:rFonts w:eastAsia="Times New Roman" w:cs="Times New Roman"/>
        </w:rPr>
        <w:t>, do Plano de Ação da Rede de Atenção à Saúde das Pessoas com Câncer em Santa Catarina, conforme anexo.</w:t>
      </w:r>
    </w:p>
    <w:p w:rsidR="00127C4A" w:rsidRDefault="00127C4A" w:rsidP="00127C4A">
      <w:pPr>
        <w:ind w:left="3552" w:firstLine="696"/>
        <w:jc w:val="both"/>
      </w:pPr>
      <w:r>
        <w:t xml:space="preserve">Florianópolis, </w:t>
      </w:r>
      <w:r w:rsidR="003B12D9">
        <w:t>30</w:t>
      </w:r>
      <w:r>
        <w:t xml:space="preserve"> de outubro</w:t>
      </w:r>
      <w:r w:rsidR="003B12D9">
        <w:t xml:space="preserve"> </w:t>
      </w:r>
      <w:r>
        <w:t xml:space="preserve">de 2018. </w:t>
      </w:r>
    </w:p>
    <w:p w:rsidR="00127C4A" w:rsidRDefault="00127C4A" w:rsidP="00127C4A">
      <w:pPr>
        <w:jc w:val="center"/>
      </w:pPr>
      <w:bookmarkStart w:id="2" w:name="_GoBack"/>
      <w:bookmarkEnd w:id="2"/>
    </w:p>
    <w:p w:rsidR="00127C4A" w:rsidRDefault="00127C4A" w:rsidP="00127C4A">
      <w:pPr>
        <w:jc w:val="center"/>
      </w:pPr>
    </w:p>
    <w:p w:rsidR="00127C4A" w:rsidRDefault="00127C4A" w:rsidP="00127C4A">
      <w:pPr>
        <w:jc w:val="center"/>
      </w:pPr>
    </w:p>
    <w:p w:rsidR="00127C4A" w:rsidRDefault="00127C4A" w:rsidP="00127C4A">
      <w:pPr>
        <w:jc w:val="center"/>
      </w:pPr>
    </w:p>
    <w:p w:rsidR="00127C4A" w:rsidRDefault="00127C4A" w:rsidP="00127C4A">
      <w:pPr>
        <w:jc w:val="center"/>
      </w:pPr>
    </w:p>
    <w:p w:rsidR="00127C4A" w:rsidRPr="00E86181" w:rsidRDefault="00127C4A" w:rsidP="00127C4A">
      <w:pPr>
        <w:pStyle w:val="Subttulo"/>
      </w:pP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127C4A" w:rsidRPr="00185E71" w:rsidTr="00E263D5">
        <w:trPr>
          <w:jc w:val="center"/>
        </w:trPr>
        <w:tc>
          <w:tcPr>
            <w:tcW w:w="4298" w:type="dxa"/>
            <w:shd w:val="clear" w:color="auto" w:fill="auto"/>
          </w:tcPr>
          <w:p w:rsidR="00127C4A" w:rsidRPr="006C3BCE" w:rsidRDefault="00127C4A" w:rsidP="00E263D5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127C4A" w:rsidRPr="00185E71" w:rsidRDefault="00127C4A" w:rsidP="00E263D5">
            <w:pPr>
              <w:jc w:val="center"/>
            </w:pPr>
            <w:r>
              <w:rPr>
                <w:b/>
                <w:bCs/>
              </w:rPr>
              <w:t>SID</w:t>
            </w:r>
            <w:r w:rsidRPr="00185E71">
              <w:rPr>
                <w:b/>
                <w:bCs/>
              </w:rPr>
              <w:t>NEI BELLE</w:t>
            </w:r>
          </w:p>
        </w:tc>
      </w:tr>
      <w:tr w:rsidR="00127C4A" w:rsidRPr="00185E71" w:rsidTr="00E263D5">
        <w:trPr>
          <w:jc w:val="center"/>
        </w:trPr>
        <w:tc>
          <w:tcPr>
            <w:tcW w:w="4298" w:type="dxa"/>
            <w:shd w:val="clear" w:color="auto" w:fill="auto"/>
          </w:tcPr>
          <w:p w:rsidR="00127C4A" w:rsidRPr="00185E71" w:rsidRDefault="00127C4A" w:rsidP="00E263D5">
            <w:pPr>
              <w:jc w:val="center"/>
              <w:rPr>
                <w:bCs/>
              </w:rPr>
            </w:pPr>
            <w:r>
              <w:rPr>
                <w:bCs/>
              </w:rPr>
              <w:t>Coordenador</w:t>
            </w:r>
            <w:r w:rsidRPr="00185E71">
              <w:rPr>
                <w:bCs/>
              </w:rPr>
              <w:t xml:space="preserve"> CIB/SES</w:t>
            </w:r>
          </w:p>
          <w:p w:rsidR="00127C4A" w:rsidRPr="00185E71" w:rsidRDefault="00127C4A" w:rsidP="00E263D5">
            <w:pPr>
              <w:jc w:val="center"/>
              <w:rPr>
                <w:bCs/>
              </w:rPr>
            </w:pPr>
            <w:r>
              <w:rPr>
                <w:bCs/>
              </w:rPr>
              <w:t>Secretário</w:t>
            </w:r>
            <w:r w:rsidRPr="00185E71">
              <w:rPr>
                <w:bCs/>
              </w:rPr>
              <w:t xml:space="preserve"> de Estado da Saúde</w:t>
            </w:r>
          </w:p>
        </w:tc>
        <w:tc>
          <w:tcPr>
            <w:tcW w:w="4346" w:type="dxa"/>
            <w:shd w:val="clear" w:color="auto" w:fill="auto"/>
          </w:tcPr>
          <w:p w:rsidR="00127C4A" w:rsidRPr="00185E71" w:rsidRDefault="00127C4A" w:rsidP="00E263D5">
            <w:pPr>
              <w:jc w:val="center"/>
              <w:rPr>
                <w:bCs/>
              </w:rPr>
            </w:pPr>
            <w:r w:rsidRPr="00185E71">
              <w:rPr>
                <w:bCs/>
              </w:rPr>
              <w:t>Coordenador CIB/COSEMS</w:t>
            </w:r>
          </w:p>
          <w:p w:rsidR="00127C4A" w:rsidRPr="00185E71" w:rsidRDefault="00127C4A" w:rsidP="00E263D5">
            <w:pPr>
              <w:jc w:val="center"/>
            </w:pPr>
            <w:r w:rsidRPr="00185E71">
              <w:rPr>
                <w:bCs/>
              </w:rPr>
              <w:t>Presidente do COSEMS</w:t>
            </w:r>
          </w:p>
        </w:tc>
      </w:tr>
    </w:tbl>
    <w:p w:rsidR="00127C4A" w:rsidRDefault="00127C4A" w:rsidP="00127C4A">
      <w:pPr>
        <w:spacing w:after="120" w:line="360" w:lineRule="auto"/>
        <w:ind w:firstLine="851"/>
        <w:rPr>
          <w:shd w:val="clear" w:color="auto" w:fill="FFFFFF"/>
          <w:lang w:eastAsia="pt-BR"/>
        </w:rPr>
      </w:pPr>
    </w:p>
    <w:p w:rsidR="00127C4A" w:rsidRDefault="00127C4A" w:rsidP="00127C4A">
      <w:pPr>
        <w:spacing w:after="120" w:line="360" w:lineRule="auto"/>
        <w:ind w:firstLine="851"/>
        <w:rPr>
          <w:shd w:val="clear" w:color="auto" w:fill="FFFFFF"/>
          <w:lang w:eastAsia="pt-BR"/>
        </w:rPr>
      </w:pPr>
    </w:p>
    <w:p w:rsidR="00127C4A" w:rsidRDefault="00127C4A" w:rsidP="00127C4A">
      <w:pPr>
        <w:rPr>
          <w:shd w:val="clear" w:color="auto" w:fill="FFFFFF"/>
          <w:lang w:eastAsia="pt-BR"/>
        </w:rPr>
      </w:pPr>
      <w:r>
        <w:rPr>
          <w:shd w:val="clear" w:color="auto" w:fill="FFFFFF"/>
          <w:lang w:eastAsia="pt-BR"/>
        </w:rPr>
        <w:br w:type="page"/>
      </w:r>
    </w:p>
    <w:p w:rsidR="00127C4A" w:rsidRPr="00E86181" w:rsidRDefault="00127C4A" w:rsidP="00127C4A">
      <w:pPr>
        <w:jc w:val="center"/>
        <w:rPr>
          <w:b/>
          <w:color w:val="000000"/>
        </w:rPr>
      </w:pPr>
      <w:r w:rsidRPr="00E86181">
        <w:rPr>
          <w:b/>
          <w:color w:val="000000"/>
        </w:rPr>
        <w:lastRenderedPageBreak/>
        <w:t>Anexo da Deliberação nº XXX/CIB/2018, de XX de outubro de 2018</w:t>
      </w:r>
    </w:p>
    <w:p w:rsidR="00127C4A" w:rsidRPr="00825990" w:rsidRDefault="00127C4A" w:rsidP="00127C4A">
      <w:pPr>
        <w:jc w:val="center"/>
        <w:rPr>
          <w:color w:val="000000"/>
        </w:rPr>
      </w:pPr>
    </w:p>
    <w:p w:rsidR="00127C4A" w:rsidRPr="005B5246" w:rsidRDefault="00127C4A" w:rsidP="00127C4A">
      <w:pPr>
        <w:pStyle w:val="Ttulo1"/>
        <w:spacing w:before="120" w:after="240" w:line="276" w:lineRule="auto"/>
        <w:rPr>
          <w:sz w:val="24"/>
          <w:szCs w:val="24"/>
          <w:shd w:val="clear" w:color="auto" w:fill="FFFFFF"/>
          <w:lang w:eastAsia="pt-BR"/>
        </w:rPr>
      </w:pPr>
      <w:bookmarkStart w:id="3" w:name="_Toc467086271"/>
      <w:bookmarkStart w:id="4" w:name="_Toc523764010"/>
      <w:r w:rsidRPr="00825990">
        <w:rPr>
          <w:color w:val="000000"/>
          <w:sz w:val="24"/>
          <w:szCs w:val="24"/>
          <w:shd w:val="clear" w:color="auto" w:fill="FFFFFF"/>
          <w:lang w:eastAsia="pt-BR"/>
        </w:rPr>
        <w:t>3.</w:t>
      </w:r>
      <w:r>
        <w:rPr>
          <w:color w:val="000000"/>
          <w:sz w:val="24"/>
          <w:szCs w:val="24"/>
          <w:shd w:val="clear" w:color="auto" w:fill="FFFFFF"/>
          <w:lang w:val="pt-BR" w:eastAsia="pt-BR"/>
        </w:rPr>
        <w:t>4</w:t>
      </w:r>
      <w:r w:rsidRPr="00825990">
        <w:rPr>
          <w:color w:val="000000"/>
          <w:sz w:val="24"/>
          <w:szCs w:val="24"/>
          <w:shd w:val="clear" w:color="auto" w:fill="FFFFFF"/>
          <w:lang w:eastAsia="pt-BR"/>
        </w:rPr>
        <w:t xml:space="preserve"> </w:t>
      </w:r>
      <w:proofErr w:type="spellStart"/>
      <w:r w:rsidRPr="00825990">
        <w:rPr>
          <w:color w:val="000000"/>
          <w:sz w:val="24"/>
          <w:szCs w:val="24"/>
          <w:shd w:val="clear" w:color="auto" w:fill="FFFFFF"/>
          <w:lang w:eastAsia="pt-BR"/>
        </w:rPr>
        <w:t>Proposta</w:t>
      </w:r>
      <w:proofErr w:type="spellEnd"/>
      <w:r w:rsidRPr="005B5246">
        <w:rPr>
          <w:sz w:val="24"/>
          <w:szCs w:val="24"/>
          <w:shd w:val="clear" w:color="auto" w:fill="FFFFFF"/>
          <w:lang w:eastAsia="pt-BR"/>
        </w:rPr>
        <w:t xml:space="preserve"> </w:t>
      </w:r>
      <w:proofErr w:type="spellStart"/>
      <w:r w:rsidRPr="005B5246">
        <w:rPr>
          <w:sz w:val="24"/>
          <w:szCs w:val="24"/>
          <w:shd w:val="clear" w:color="auto" w:fill="FFFFFF"/>
          <w:lang w:eastAsia="pt-BR"/>
        </w:rPr>
        <w:t>Expansão</w:t>
      </w:r>
      <w:proofErr w:type="spellEnd"/>
      <w:r w:rsidRPr="005B5246">
        <w:rPr>
          <w:sz w:val="24"/>
          <w:szCs w:val="24"/>
          <w:shd w:val="clear" w:color="auto" w:fill="FFFFFF"/>
          <w:lang w:eastAsia="pt-BR"/>
        </w:rPr>
        <w:t xml:space="preserve"> </w:t>
      </w:r>
      <w:proofErr w:type="spellStart"/>
      <w:r w:rsidRPr="005B5246">
        <w:rPr>
          <w:sz w:val="24"/>
          <w:szCs w:val="24"/>
          <w:shd w:val="clear" w:color="auto" w:fill="FFFFFF"/>
          <w:lang w:eastAsia="pt-BR"/>
        </w:rPr>
        <w:t>Radioterapia</w:t>
      </w:r>
      <w:bookmarkEnd w:id="3"/>
      <w:bookmarkEnd w:id="4"/>
      <w:proofErr w:type="spellEnd"/>
    </w:p>
    <w:p w:rsidR="00127C4A" w:rsidRPr="005B5246" w:rsidRDefault="00127C4A" w:rsidP="00127C4A">
      <w:pPr>
        <w:pStyle w:val="Legenda"/>
        <w:rPr>
          <w:b w:val="0"/>
          <w:sz w:val="24"/>
          <w:szCs w:val="24"/>
        </w:rPr>
      </w:pPr>
      <w:bookmarkStart w:id="5" w:name="OLE_LINK12"/>
      <w:bookmarkStart w:id="6" w:name="OLE_LINK13"/>
      <w:bookmarkStart w:id="7" w:name="OLE_LINK14"/>
      <w:bookmarkStart w:id="8" w:name="_Toc523763927"/>
      <w:r w:rsidRPr="005B5246">
        <w:rPr>
          <w:b w:val="0"/>
          <w:sz w:val="24"/>
          <w:szCs w:val="24"/>
        </w:rPr>
        <w:t xml:space="preserve">Quadro </w:t>
      </w:r>
      <w:r w:rsidRPr="005B5246">
        <w:rPr>
          <w:b w:val="0"/>
          <w:sz w:val="24"/>
          <w:szCs w:val="24"/>
        </w:rPr>
        <w:fldChar w:fldCharType="begin"/>
      </w:r>
      <w:r w:rsidRPr="005B5246">
        <w:rPr>
          <w:b w:val="0"/>
          <w:sz w:val="24"/>
          <w:szCs w:val="24"/>
        </w:rPr>
        <w:instrText xml:space="preserve"> SEQ Quadro \* ARABIC </w:instrText>
      </w:r>
      <w:r w:rsidRPr="005B5246">
        <w:rPr>
          <w:b w:val="0"/>
          <w:sz w:val="24"/>
          <w:szCs w:val="24"/>
        </w:rPr>
        <w:fldChar w:fldCharType="separate"/>
      </w:r>
      <w:r>
        <w:rPr>
          <w:b w:val="0"/>
          <w:noProof/>
          <w:sz w:val="24"/>
          <w:szCs w:val="24"/>
        </w:rPr>
        <w:t>17</w:t>
      </w:r>
      <w:r w:rsidRPr="005B5246">
        <w:rPr>
          <w:b w:val="0"/>
          <w:sz w:val="24"/>
          <w:szCs w:val="24"/>
        </w:rPr>
        <w:fldChar w:fldCharType="end"/>
      </w:r>
      <w:r w:rsidRPr="005B5246">
        <w:rPr>
          <w:b w:val="0"/>
          <w:sz w:val="24"/>
          <w:szCs w:val="24"/>
        </w:rPr>
        <w:t xml:space="preserve">: Expansão de radioterapia nos Serviços de Atenção Hospitalar em Oncologia em </w:t>
      </w:r>
      <w:bookmarkEnd w:id="5"/>
      <w:bookmarkEnd w:id="6"/>
      <w:bookmarkEnd w:id="7"/>
      <w:r w:rsidRPr="005B5246">
        <w:rPr>
          <w:b w:val="0"/>
          <w:sz w:val="24"/>
          <w:szCs w:val="24"/>
        </w:rPr>
        <w:t>SC.</w:t>
      </w:r>
      <w:bookmarkEnd w:id="8"/>
    </w:p>
    <w:tbl>
      <w:tblPr>
        <w:tblW w:w="9781" w:type="dxa"/>
        <w:tblInd w:w="-34" w:type="dxa"/>
        <w:tblLayout w:type="fixed"/>
        <w:tblLook w:val="0000"/>
      </w:tblPr>
      <w:tblGrid>
        <w:gridCol w:w="1843"/>
        <w:gridCol w:w="1418"/>
        <w:gridCol w:w="2267"/>
        <w:gridCol w:w="4253"/>
      </w:tblGrid>
      <w:tr w:rsidR="00127C4A" w:rsidRPr="00E46D12" w:rsidTr="00E263D5">
        <w:trPr>
          <w:tblHeader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Macrorregião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Município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EEECE1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Nome de serviço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EECE1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rPr>
                <w:b/>
              </w:rPr>
              <w:t>No de equipamento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Grande Oeste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Chapecó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Leonir Vargas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Projeto expansão MS– Ampliação com segundo equipamento previsto para agosto de 201</w:t>
            </w:r>
            <w:r>
              <w:t>7</w:t>
            </w:r>
            <w:r w:rsidRPr="00E46D12">
              <w:t>, sem teto financeiro.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Sul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Tubarão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 xml:space="preserve">Hospital Nossa </w:t>
            </w:r>
            <w:r>
              <w:t>S</w:t>
            </w:r>
            <w:r w:rsidRPr="00E46D12">
              <w:t>enhora da Conceição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Projeto expansão MS – 1 equipamento previsão marco de 2018.</w:t>
            </w:r>
            <w:r>
              <w:t xml:space="preserve"> Sem teto financeiro.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Sul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Criciúma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São Jose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Possui um segundo equipamento sem teto definido na PPI – adquirido através de convenio MS nº 60182/2011 (SICONV Nº 760124/11), já em funcionamento, porém sem teto definido na PPI.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Serra Catarinense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Lages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Tereza Ramos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Um Equipamento adquirido com recurso estadual, sem habilitação, já em funcionamento e aguarda a habilitação e teto</w:t>
            </w:r>
            <w:r>
              <w:t xml:space="preserve"> financeiro</w:t>
            </w:r>
            <w:r w:rsidRPr="00E46D12">
              <w:t>.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CB6A41" w:rsidRDefault="00127C4A" w:rsidP="00E263D5">
            <w:pPr>
              <w:snapToGrid w:val="0"/>
              <w:jc w:val="center"/>
            </w:pPr>
            <w:r w:rsidRPr="00CB6A41">
              <w:t>Médio Vale do Rio Itajaí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Blumenau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Santo Antônio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Default="00127C4A" w:rsidP="00E263D5">
            <w:pPr>
              <w:jc w:val="center"/>
            </w:pPr>
            <w:r w:rsidRPr="00E46D12">
              <w:t>Expansão equipamento recurso estadual sem teto financeiro. Previsão</w:t>
            </w:r>
            <w:r>
              <w:t xml:space="preserve"> final de 2016</w:t>
            </w:r>
          </w:p>
          <w:p w:rsidR="00127C4A" w:rsidRPr="00FF538A" w:rsidRDefault="00127C4A" w:rsidP="00E263D5">
            <w:pPr>
              <w:jc w:val="center"/>
              <w:rPr>
                <w:color w:val="FF0000"/>
              </w:rPr>
            </w:pPr>
            <w:r w:rsidRPr="00FF538A">
              <w:rPr>
                <w:color w:val="FF0000"/>
              </w:rPr>
              <w:t>Projeto expansão MS – 1 equipamento previsto para 2018, sem teto financeiro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Meio Oeste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Joaçaba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Hospital Universitário Santa Terezinha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Projeto expansão MS–1 equipamento previsto para 201</w:t>
            </w:r>
            <w:r>
              <w:t>8</w:t>
            </w:r>
            <w:r w:rsidRPr="00E46D12">
              <w:t>, sem teto financeiro</w:t>
            </w:r>
          </w:p>
        </w:tc>
      </w:tr>
      <w:tr w:rsidR="00127C4A" w:rsidRPr="00E46D12" w:rsidTr="00E263D5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snapToGrid w:val="0"/>
              <w:jc w:val="center"/>
            </w:pPr>
            <w:r w:rsidRPr="00E46D12">
              <w:t>Foz do Rio Itajaí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Itajaí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 xml:space="preserve">Hospital e maternidade Marieta </w:t>
            </w:r>
            <w:proofErr w:type="spellStart"/>
            <w:r w:rsidRPr="00E46D12">
              <w:t>Konder</w:t>
            </w:r>
            <w:proofErr w:type="spellEnd"/>
            <w:r w:rsidRPr="00E46D12">
              <w:t xml:space="preserve"> Bornhausen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</w:pPr>
            <w:r w:rsidRPr="00E46D12">
              <w:t>Projeto expansão MS–1 equipamento previsto para 201</w:t>
            </w:r>
            <w:r>
              <w:t>8</w:t>
            </w:r>
            <w:r w:rsidRPr="00E46D12">
              <w:t>, sem teto financeiro</w:t>
            </w:r>
          </w:p>
        </w:tc>
      </w:tr>
      <w:tr w:rsidR="00127C4A" w:rsidRPr="00E46D12" w:rsidTr="00E263D5">
        <w:tc>
          <w:tcPr>
            <w:tcW w:w="55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Total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C4A" w:rsidRPr="00E46D12" w:rsidRDefault="00127C4A" w:rsidP="00E263D5">
            <w:pPr>
              <w:jc w:val="center"/>
              <w:rPr>
                <w:b/>
              </w:rPr>
            </w:pPr>
            <w:r w:rsidRPr="00E46D12">
              <w:rPr>
                <w:b/>
              </w:rPr>
              <w:t>0</w:t>
            </w:r>
            <w:r>
              <w:rPr>
                <w:b/>
              </w:rPr>
              <w:t>5</w:t>
            </w:r>
            <w:r w:rsidRPr="00E46D12">
              <w:rPr>
                <w:b/>
              </w:rPr>
              <w:t xml:space="preserve"> equipamentos</w:t>
            </w:r>
          </w:p>
        </w:tc>
      </w:tr>
    </w:tbl>
    <w:p w:rsidR="00127C4A" w:rsidRPr="00E46D12" w:rsidRDefault="00127C4A" w:rsidP="00127C4A">
      <w:pPr>
        <w:ind w:firstLine="540"/>
        <w:jc w:val="both"/>
      </w:pPr>
    </w:p>
    <w:p w:rsidR="00127C4A" w:rsidRPr="00E46D12" w:rsidRDefault="00127C4A" w:rsidP="00127C4A">
      <w:pPr>
        <w:pStyle w:val="Corpodetexto"/>
        <w:spacing w:line="360" w:lineRule="auto"/>
        <w:ind w:firstLine="1134"/>
        <w:jc w:val="both"/>
      </w:pPr>
      <w:r w:rsidRPr="00E46D12">
        <w:t xml:space="preserve">Existem 15 equipamentos de radioterapia em funcionamento no estado de Santa Catarina. Desses, </w:t>
      </w:r>
      <w:r>
        <w:rPr>
          <w:lang w:val="pt-BR"/>
        </w:rPr>
        <w:t>09</w:t>
      </w:r>
      <w:r w:rsidRPr="00E46D12">
        <w:t xml:space="preserve"> fazem parte da rede de assistência do SUS.</w:t>
      </w:r>
    </w:p>
    <w:p w:rsidR="00127C4A" w:rsidRPr="00E46D12" w:rsidRDefault="00127C4A" w:rsidP="00127C4A">
      <w:pPr>
        <w:spacing w:line="360" w:lineRule="auto"/>
        <w:ind w:firstLine="1134"/>
        <w:jc w:val="both"/>
      </w:pPr>
      <w:r w:rsidRPr="00E46D12">
        <w:t xml:space="preserve">O Projeto de Expansão da Assistência </w:t>
      </w:r>
      <w:proofErr w:type="spellStart"/>
      <w:r w:rsidRPr="00E46D12">
        <w:t>Oncológica</w:t>
      </w:r>
      <w:proofErr w:type="spellEnd"/>
      <w:r w:rsidRPr="00E46D12">
        <w:t xml:space="preserve"> (Projeto Expande), foi aprovado em 2000, pelo Ministério da Saúde, com o objetivo de aumentar a capacidade instalada da rede de serviços </w:t>
      </w:r>
      <w:proofErr w:type="spellStart"/>
      <w:r w:rsidRPr="00E46D12">
        <w:t>oncológicos</w:t>
      </w:r>
      <w:proofErr w:type="spellEnd"/>
      <w:r w:rsidRPr="00E46D12">
        <w:t xml:space="preserve"> d</w:t>
      </w:r>
      <w:r>
        <w:t>o Sistema Único de Saúde (SUS).</w:t>
      </w:r>
    </w:p>
    <w:p w:rsidR="00127C4A" w:rsidRPr="00E46D12" w:rsidRDefault="00127C4A" w:rsidP="00127C4A">
      <w:pPr>
        <w:pStyle w:val="Recuodecorpodetexto"/>
        <w:tabs>
          <w:tab w:val="left" w:pos="240"/>
        </w:tabs>
        <w:spacing w:after="0" w:line="360" w:lineRule="auto"/>
        <w:ind w:left="0" w:firstLine="1134"/>
      </w:pPr>
      <w:r w:rsidRPr="00E46D12">
        <w:t>Com o Plano de Expansão devidamente implantado, o Estado terá o parque radioterápico com cobertura na maioria</w:t>
      </w:r>
      <w:proofErr w:type="gramStart"/>
      <w:r w:rsidRPr="00E46D12">
        <w:t xml:space="preserve">  </w:t>
      </w:r>
      <w:proofErr w:type="gramEnd"/>
      <w:r w:rsidRPr="00E46D12">
        <w:t xml:space="preserve">as Macrorregiões de Saúde, com exceção do Planalto Norte por desistência do Prestador (UNACON - Porto </w:t>
      </w:r>
      <w:r>
        <w:t>U</w:t>
      </w:r>
      <w:r w:rsidRPr="00E46D12">
        <w:t>nião).</w:t>
      </w:r>
    </w:p>
    <w:p w:rsidR="00127C4A" w:rsidRPr="008B4B45" w:rsidRDefault="00127C4A" w:rsidP="00127C4A">
      <w:pPr>
        <w:spacing w:line="360" w:lineRule="auto"/>
        <w:ind w:firstLine="1134"/>
        <w:jc w:val="both"/>
      </w:pPr>
      <w:r w:rsidRPr="00E46D12">
        <w:lastRenderedPageBreak/>
        <w:t xml:space="preserve">A Portaria nº 140 de 27 de fevereiro de 2014, estabelece que cada estabelecimento de saúde habilitado como CACON e UNACON que tenha como responsabilidade uma população de 500.000 (quinhentos mil) habitantes ou 900 (novecentos) casos novos de câncer/ano (ou seus múltiplos a mais), exceto o câncer não melanoma de pele, observará os parâmetros mínimos de produção anuais de 43.000 (quarenta e três mil) campos de radioterapia, por </w:t>
      </w:r>
      <w:r w:rsidRPr="008B4B45">
        <w:t xml:space="preserve">equipamento instalado. Cabe salientar que o Hospital São José do município de Criciúma possui atualmente dois equipamentos de radioterapia, e realiza o procedimento para os pacientes do UNACON do município de Tubarão, referenciados pelo Hospital Nossa Senhora Conceição sem teto financeiro. </w:t>
      </w:r>
    </w:p>
    <w:p w:rsidR="00127C4A" w:rsidRPr="00B52F22" w:rsidRDefault="00127C4A" w:rsidP="00127C4A">
      <w:pPr>
        <w:spacing w:line="360" w:lineRule="auto"/>
        <w:ind w:firstLine="1134"/>
        <w:jc w:val="both"/>
        <w:rPr>
          <w:b/>
        </w:rPr>
      </w:pPr>
      <w:r w:rsidRPr="008B4B45">
        <w:t>Atualmente o Hospital Santa</w:t>
      </w:r>
      <w:r w:rsidRPr="00B52F22">
        <w:t xml:space="preserve"> Isabel realiza a Radioterapia para tod</w:t>
      </w:r>
      <w:r>
        <w:t>a</w:t>
      </w:r>
      <w:r w:rsidRPr="00B52F22">
        <w:t xml:space="preserve"> a Macrorregião do Vale do Itajaí e Foz do Rio Itajaí, tem utilizado como</w:t>
      </w:r>
      <w:r>
        <w:t xml:space="preserve"> </w:t>
      </w:r>
      <w:proofErr w:type="gramStart"/>
      <w:r>
        <w:t>terceirizado</w:t>
      </w:r>
      <w:proofErr w:type="gramEnd"/>
      <w:r>
        <w:t xml:space="preserve"> a</w:t>
      </w:r>
      <w:r w:rsidRPr="00B52F22">
        <w:t xml:space="preserve"> Clínica CORB - Clinica Radioterapia e </w:t>
      </w:r>
      <w:proofErr w:type="spellStart"/>
      <w:r w:rsidRPr="00B52F22">
        <w:t>Megavoltagem</w:t>
      </w:r>
      <w:proofErr w:type="spellEnd"/>
      <w:r w:rsidRPr="00B52F22">
        <w:t>, até que esteja</w:t>
      </w:r>
      <w:r>
        <w:t>m</w:t>
      </w:r>
      <w:r w:rsidRPr="00B52F22">
        <w:t xml:space="preserve"> concluíd</w:t>
      </w:r>
      <w:r>
        <w:t>o</w:t>
      </w:r>
      <w:r w:rsidRPr="00B52F22">
        <w:t>s e habilitado os serviços previsto para Hospital Santo Antônio</w:t>
      </w:r>
      <w:r>
        <w:t xml:space="preserve">, </w:t>
      </w:r>
      <w:r w:rsidRPr="00FF538A">
        <w:rPr>
          <w:color w:val="FF0000"/>
        </w:rPr>
        <w:t xml:space="preserve">projeto de expansão SES, que está dependendo da Casa Mata e o </w:t>
      </w:r>
      <w:r>
        <w:rPr>
          <w:color w:val="FF0000"/>
        </w:rPr>
        <w:t>segundo aparelho</w:t>
      </w:r>
      <w:r w:rsidRPr="00FF538A">
        <w:rPr>
          <w:color w:val="FF0000"/>
        </w:rPr>
        <w:t xml:space="preserve"> contemplado no projeto de expansão do MS</w:t>
      </w:r>
      <w:r>
        <w:rPr>
          <w:color w:val="FF0000"/>
        </w:rPr>
        <w:t xml:space="preserve"> em 2018,</w:t>
      </w:r>
      <w:r w:rsidRPr="00B52F22">
        <w:t xml:space="preserve"> e também do </w:t>
      </w:r>
      <w:r>
        <w:t>H</w:t>
      </w:r>
      <w:r w:rsidRPr="00B52F22">
        <w:t xml:space="preserve">ospital Marieta </w:t>
      </w:r>
      <w:proofErr w:type="spellStart"/>
      <w:r w:rsidRPr="00B52F22">
        <w:t>Konder</w:t>
      </w:r>
      <w:proofErr w:type="spellEnd"/>
      <w:r w:rsidRPr="00B52F22">
        <w:t xml:space="preserve"> Bornhausen, contemplado no projeto de expansão do MS.</w:t>
      </w:r>
    </w:p>
    <w:p w:rsidR="00694C52" w:rsidRPr="00E367D6" w:rsidRDefault="00694C52" w:rsidP="00186631">
      <w:pPr>
        <w:spacing w:line="360" w:lineRule="auto"/>
        <w:ind w:right="-2"/>
        <w:jc w:val="right"/>
        <w:rPr>
          <w:rFonts w:ascii="Arial" w:hAnsi="Arial" w:cs="Arial"/>
        </w:rPr>
      </w:pPr>
    </w:p>
    <w:p w:rsidR="00186631" w:rsidRPr="00E367D6" w:rsidRDefault="00186631" w:rsidP="00186631">
      <w:pPr>
        <w:spacing w:line="360" w:lineRule="auto"/>
        <w:ind w:right="-2"/>
        <w:jc w:val="right"/>
        <w:rPr>
          <w:rFonts w:ascii="Arial" w:hAnsi="Arial" w:cs="Arial"/>
        </w:rPr>
      </w:pPr>
      <w:r w:rsidRPr="00E367D6">
        <w:rPr>
          <w:rFonts w:ascii="Arial" w:hAnsi="Arial" w:cs="Arial"/>
        </w:rPr>
        <w:t>Florianópolis, 30 de outubro de 2018</w:t>
      </w:r>
    </w:p>
    <w:p w:rsidR="00186631" w:rsidRPr="00E367D6" w:rsidRDefault="00186631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Pr="00E367D6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DB6253"/>
    <w:multiLevelType w:val="hybridMultilevel"/>
    <w:tmpl w:val="0186F05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C81945"/>
    <w:multiLevelType w:val="hybridMultilevel"/>
    <w:tmpl w:val="DCBCC194"/>
    <w:lvl w:ilvl="0" w:tplc="D3363ED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3D5825BE"/>
    <w:multiLevelType w:val="hybridMultilevel"/>
    <w:tmpl w:val="DE3E9A7A"/>
    <w:lvl w:ilvl="0" w:tplc="4350B8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0264F8"/>
    <w:multiLevelType w:val="hybridMultilevel"/>
    <w:tmpl w:val="BAC8FDBE"/>
    <w:lvl w:ilvl="0" w:tplc="0E7297A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3"/>
  </w:num>
  <w:num w:numId="4">
    <w:abstractNumId w:val="13"/>
  </w:num>
  <w:num w:numId="5">
    <w:abstractNumId w:val="14"/>
  </w:num>
  <w:num w:numId="6">
    <w:abstractNumId w:val="23"/>
  </w:num>
  <w:num w:numId="7">
    <w:abstractNumId w:val="6"/>
  </w:num>
  <w:num w:numId="8">
    <w:abstractNumId w:val="20"/>
  </w:num>
  <w:num w:numId="9">
    <w:abstractNumId w:val="12"/>
  </w:num>
  <w:num w:numId="10">
    <w:abstractNumId w:val="18"/>
  </w:num>
  <w:num w:numId="11">
    <w:abstractNumId w:val="15"/>
  </w:num>
  <w:num w:numId="12">
    <w:abstractNumId w:val="22"/>
  </w:num>
  <w:num w:numId="13">
    <w:abstractNumId w:val="2"/>
  </w:num>
  <w:num w:numId="14">
    <w:abstractNumId w:val="1"/>
  </w:num>
  <w:num w:numId="15">
    <w:abstractNumId w:val="5"/>
  </w:num>
  <w:num w:numId="16">
    <w:abstractNumId w:val="19"/>
  </w:num>
  <w:num w:numId="17">
    <w:abstractNumId w:val="4"/>
  </w:num>
  <w:num w:numId="18">
    <w:abstractNumId w:val="10"/>
  </w:num>
  <w:num w:numId="19">
    <w:abstractNumId w:val="11"/>
  </w:num>
  <w:num w:numId="20">
    <w:abstractNumId w:val="21"/>
  </w:num>
  <w:num w:numId="21">
    <w:abstractNumId w:val="8"/>
  </w:num>
  <w:num w:numId="22">
    <w:abstractNumId w:val="17"/>
  </w:num>
  <w:num w:numId="23">
    <w:abstractNumId w:val="9"/>
  </w:num>
  <w:num w:numId="2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27C4A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69F5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35E51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ED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2D9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3CB5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BA9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5D34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4C5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F7B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3B4F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06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46A6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473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3ACC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198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639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7D6"/>
    <w:rsid w:val="00E36C3F"/>
    <w:rsid w:val="00E373E8"/>
    <w:rsid w:val="00E378EE"/>
    <w:rsid w:val="00E37CE3"/>
    <w:rsid w:val="00E42A44"/>
    <w:rsid w:val="00E42E6C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2BEC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5656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3F43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DB119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DB119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E367D6"/>
    <w:pPr>
      <w:ind w:firstLine="567"/>
    </w:pPr>
    <w:rPr>
      <w:rFonts w:ascii="Arial" w:hAnsi="Arial" w:cs="Arial"/>
      <w:szCs w:val="20"/>
      <w:lang w:eastAsia="zh-CN"/>
    </w:rPr>
  </w:style>
  <w:style w:type="paragraph" w:styleId="Legenda">
    <w:name w:val="caption"/>
    <w:basedOn w:val="Normal"/>
    <w:next w:val="Normal"/>
    <w:uiPriority w:val="35"/>
    <w:unhideWhenUsed/>
    <w:qFormat/>
    <w:rsid w:val="00127C4A"/>
    <w:rPr>
      <w:b/>
      <w:bCs/>
      <w:sz w:val="20"/>
      <w:szCs w:val="20"/>
    </w:rPr>
  </w:style>
  <w:style w:type="paragraph" w:customStyle="1" w:styleId="Standard">
    <w:name w:val="Standard"/>
    <w:rsid w:val="00127C4A"/>
    <w:pPr>
      <w:suppressAutoHyphens/>
      <w:textAlignment w:val="baseline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styleId="Corpodetexto">
    <w:name w:val="Body Text"/>
    <w:basedOn w:val="Normal"/>
    <w:link w:val="CorpodetextoChar"/>
    <w:rsid w:val="00127C4A"/>
    <w:pPr>
      <w:spacing w:after="120"/>
    </w:pPr>
    <w:rPr>
      <w:lang/>
    </w:rPr>
  </w:style>
  <w:style w:type="character" w:customStyle="1" w:styleId="CorpodetextoChar">
    <w:name w:val="Corpo de texto Char"/>
    <w:basedOn w:val="Fontepargpadro"/>
    <w:link w:val="Corpodetexto"/>
    <w:rsid w:val="00127C4A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1310</Words>
  <Characters>7074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2018-07-17T18:48:00Z</cp:lastPrinted>
  <dcterms:created xsi:type="dcterms:W3CDTF">2018-11-01T17:47:00Z</dcterms:created>
  <dcterms:modified xsi:type="dcterms:W3CDTF">2018-11-01T17:48:00Z</dcterms:modified>
</cp:coreProperties>
</file>