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5D69" w:rsidRDefault="00095D69" w:rsidP="00B824AB">
      <w:pPr>
        <w:jc w:val="center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3.5pt;height:45pt">
            <v:imagedata r:id="rId4" r:href="rId5"/>
          </v:shape>
        </w:pict>
      </w:r>
    </w:p>
    <w:p w:rsidR="00095D69" w:rsidRDefault="00095D69" w:rsidP="00B824AB">
      <w:pPr>
        <w:jc w:val="center"/>
        <w:rPr>
          <w:rFonts w:ascii="Verdana" w:hAnsi="Verdana"/>
          <w:b/>
          <w:bCs/>
          <w:color w:val="003366"/>
          <w:sz w:val="30"/>
          <w:szCs w:val="30"/>
        </w:rPr>
      </w:pPr>
      <w:r>
        <w:rPr>
          <w:rFonts w:ascii="Verdana" w:hAnsi="Verdana"/>
          <w:b/>
          <w:bCs/>
          <w:color w:val="003366"/>
          <w:sz w:val="30"/>
          <w:szCs w:val="30"/>
        </w:rPr>
        <w:t>Ministério da Saúde</w:t>
      </w:r>
      <w:r>
        <w:rPr>
          <w:rFonts w:ascii="Verdana" w:hAnsi="Verdana"/>
          <w:b/>
          <w:bCs/>
          <w:color w:val="003366"/>
          <w:sz w:val="30"/>
          <w:szCs w:val="30"/>
        </w:rPr>
        <w:br/>
      </w:r>
      <w:r>
        <w:rPr>
          <w:rFonts w:ascii="Verdana" w:hAnsi="Verdana"/>
          <w:b/>
          <w:bCs/>
          <w:color w:val="003366"/>
        </w:rPr>
        <w:t>Gabinete do Ministro</w:t>
      </w:r>
    </w:p>
    <w:p w:rsidR="00095D69" w:rsidRDefault="00095D69" w:rsidP="00CF44BD">
      <w:pPr>
        <w:spacing w:line="240" w:lineRule="auto"/>
        <w:jc w:val="center"/>
        <w:rPr>
          <w:rFonts w:ascii="Verdana" w:hAnsi="Verdana"/>
          <w:b/>
          <w:bCs/>
          <w:color w:val="003366"/>
          <w:sz w:val="18"/>
          <w:lang w:eastAsia="pt-BR"/>
        </w:rPr>
      </w:pPr>
    </w:p>
    <w:p w:rsidR="00095D69" w:rsidRPr="00063BF6" w:rsidRDefault="00095D69" w:rsidP="00063BF6">
      <w:pPr>
        <w:spacing w:before="100" w:beforeAutospacing="1" w:after="100" w:afterAutospacing="1" w:line="240" w:lineRule="auto"/>
        <w:jc w:val="center"/>
        <w:rPr>
          <w:rFonts w:ascii="Times New Roman" w:hAnsi="Times New Roman"/>
          <w:sz w:val="24"/>
          <w:szCs w:val="24"/>
          <w:lang w:eastAsia="pt-BR"/>
        </w:rPr>
      </w:pPr>
      <w:r w:rsidRPr="00063BF6">
        <w:rPr>
          <w:rFonts w:ascii="Times New Roman" w:hAnsi="Times New Roman"/>
          <w:b/>
          <w:bCs/>
          <w:sz w:val="24"/>
          <w:szCs w:val="24"/>
          <w:lang w:eastAsia="pt-BR"/>
        </w:rPr>
        <w:t>PORTARIA Nº 1.465, DE 24 DE JUNHO DE 2011</w:t>
      </w:r>
    </w:p>
    <w:p w:rsidR="00095D69" w:rsidRDefault="00095D69" w:rsidP="00063BF6">
      <w:pPr>
        <w:spacing w:before="100" w:beforeAutospacing="1" w:after="100" w:afterAutospacing="1" w:line="240" w:lineRule="auto"/>
        <w:ind w:right="-496"/>
        <w:rPr>
          <w:rFonts w:ascii="Times New Roman" w:hAnsi="Times New Roman"/>
          <w:sz w:val="24"/>
          <w:szCs w:val="24"/>
          <w:lang w:eastAsia="pt-BR"/>
        </w:rPr>
      </w:pPr>
      <w:r w:rsidRPr="00063BF6">
        <w:rPr>
          <w:rFonts w:ascii="Times New Roman" w:hAnsi="Times New Roman"/>
          <w:sz w:val="24"/>
          <w:szCs w:val="24"/>
          <w:lang w:eastAsia="pt-BR"/>
        </w:rPr>
        <w:t>Suspende a transferência de incentivos financeiros referentes ao número de equipes de Saúde da Família, equipes de Saúde Bucal e de Agentes Comunitários de Saúde nos Municípios com irregularidades no cadastro de profissionais no Sistema de Cadastro Nacional de Estabelecimentos de Saúde - SCNES.</w:t>
      </w:r>
      <w:r w:rsidRPr="00063BF6">
        <w:rPr>
          <w:rFonts w:ascii="Times New Roman" w:hAnsi="Times New Roman"/>
          <w:sz w:val="24"/>
          <w:szCs w:val="24"/>
          <w:lang w:eastAsia="pt-BR"/>
        </w:rPr>
        <w:br/>
      </w:r>
    </w:p>
    <w:p w:rsidR="00095D69" w:rsidRDefault="00095D69" w:rsidP="00063BF6">
      <w:pPr>
        <w:spacing w:before="100" w:beforeAutospacing="1" w:after="100" w:afterAutospacing="1" w:line="240" w:lineRule="auto"/>
        <w:ind w:right="-496"/>
        <w:rPr>
          <w:rFonts w:ascii="Times New Roman" w:hAnsi="Times New Roman"/>
          <w:sz w:val="24"/>
          <w:szCs w:val="24"/>
          <w:lang w:eastAsia="pt-BR"/>
        </w:rPr>
      </w:pPr>
      <w:r w:rsidRPr="00063BF6">
        <w:rPr>
          <w:rFonts w:ascii="Times New Roman" w:hAnsi="Times New Roman"/>
          <w:sz w:val="24"/>
          <w:szCs w:val="24"/>
          <w:lang w:eastAsia="pt-BR"/>
        </w:rPr>
        <w:t>O MINISTRO DE ESTADO DA SAÚDE, no uso das atribuições que lhe conferem os incisos I e II do parágrafo único do artigo 87 da Constituição, e</w:t>
      </w:r>
    </w:p>
    <w:p w:rsidR="00095D69" w:rsidRDefault="00095D69" w:rsidP="00063BF6">
      <w:pPr>
        <w:spacing w:before="100" w:beforeAutospacing="1" w:after="100" w:afterAutospacing="1" w:line="240" w:lineRule="auto"/>
        <w:ind w:right="-496"/>
        <w:rPr>
          <w:rFonts w:ascii="Times New Roman" w:hAnsi="Times New Roman"/>
          <w:sz w:val="24"/>
          <w:szCs w:val="24"/>
          <w:lang w:eastAsia="pt-BR"/>
        </w:rPr>
      </w:pPr>
      <w:r w:rsidRPr="00063BF6">
        <w:rPr>
          <w:rFonts w:ascii="Times New Roman" w:hAnsi="Times New Roman"/>
          <w:sz w:val="24"/>
          <w:szCs w:val="24"/>
          <w:lang w:eastAsia="pt-BR"/>
        </w:rPr>
        <w:br/>
        <w:t>Considerando os esforços do Ministério da Saúde pela transparência nos repasses de recursos para a Atenção Básica;</w:t>
      </w:r>
      <w:r w:rsidRPr="00063BF6">
        <w:rPr>
          <w:rFonts w:ascii="Times New Roman" w:hAnsi="Times New Roman"/>
          <w:sz w:val="24"/>
          <w:szCs w:val="24"/>
          <w:lang w:eastAsia="pt-BR"/>
        </w:rPr>
        <w:br/>
      </w:r>
    </w:p>
    <w:p w:rsidR="00095D69" w:rsidRDefault="00095D69" w:rsidP="00063BF6">
      <w:pPr>
        <w:spacing w:before="100" w:beforeAutospacing="1" w:after="100" w:afterAutospacing="1" w:line="240" w:lineRule="auto"/>
        <w:ind w:right="-496"/>
        <w:rPr>
          <w:rFonts w:ascii="Times New Roman" w:hAnsi="Times New Roman"/>
          <w:sz w:val="24"/>
          <w:szCs w:val="24"/>
          <w:lang w:eastAsia="pt-BR"/>
        </w:rPr>
      </w:pPr>
      <w:r w:rsidRPr="00063BF6">
        <w:rPr>
          <w:rFonts w:ascii="Times New Roman" w:hAnsi="Times New Roman"/>
          <w:sz w:val="24"/>
          <w:szCs w:val="24"/>
          <w:lang w:eastAsia="pt-BR"/>
        </w:rPr>
        <w:t>Considerando o disposto na Política Nacional de Atenção Básica, instituída pela Portaria nº 648/GM/MS, de 28 de março de 2006;</w:t>
      </w:r>
      <w:r w:rsidRPr="00063BF6">
        <w:rPr>
          <w:rFonts w:ascii="Times New Roman" w:hAnsi="Times New Roman"/>
          <w:sz w:val="24"/>
          <w:szCs w:val="24"/>
          <w:lang w:eastAsia="pt-BR"/>
        </w:rPr>
        <w:br/>
      </w:r>
    </w:p>
    <w:p w:rsidR="00095D69" w:rsidRDefault="00095D69" w:rsidP="00063BF6">
      <w:pPr>
        <w:spacing w:before="100" w:beforeAutospacing="1" w:after="100" w:afterAutospacing="1" w:line="240" w:lineRule="auto"/>
        <w:ind w:right="-496"/>
        <w:rPr>
          <w:rFonts w:ascii="Times New Roman" w:hAnsi="Times New Roman"/>
          <w:sz w:val="24"/>
          <w:szCs w:val="24"/>
          <w:lang w:eastAsia="pt-BR"/>
        </w:rPr>
      </w:pPr>
      <w:r w:rsidRPr="00063BF6">
        <w:rPr>
          <w:rFonts w:ascii="Times New Roman" w:hAnsi="Times New Roman"/>
          <w:sz w:val="24"/>
          <w:szCs w:val="24"/>
          <w:lang w:eastAsia="pt-BR"/>
        </w:rPr>
        <w:t>Considerando o disposto na Portaria nº 750/SAS/MS, de 10 de outubro de 2006, que define o Sistema de Cadastro Nacional de Estabelecimentos de Saúde (SCNES) como base de cadastral para o Sistema de Informação da Atenção Básica (SIAB);</w:t>
      </w:r>
      <w:r w:rsidRPr="00063BF6">
        <w:rPr>
          <w:rFonts w:ascii="Times New Roman" w:hAnsi="Times New Roman"/>
          <w:sz w:val="24"/>
          <w:szCs w:val="24"/>
          <w:lang w:eastAsia="pt-BR"/>
        </w:rPr>
        <w:br/>
      </w:r>
    </w:p>
    <w:p w:rsidR="00095D69" w:rsidRDefault="00095D69" w:rsidP="00063BF6">
      <w:pPr>
        <w:spacing w:before="100" w:beforeAutospacing="1" w:after="100" w:afterAutospacing="1" w:line="240" w:lineRule="auto"/>
        <w:ind w:right="-496"/>
        <w:rPr>
          <w:rFonts w:ascii="Times New Roman" w:hAnsi="Times New Roman"/>
          <w:sz w:val="24"/>
          <w:szCs w:val="24"/>
          <w:lang w:eastAsia="pt-BR"/>
        </w:rPr>
      </w:pPr>
      <w:r w:rsidRPr="00063BF6">
        <w:rPr>
          <w:rFonts w:ascii="Times New Roman" w:hAnsi="Times New Roman"/>
          <w:sz w:val="24"/>
          <w:szCs w:val="24"/>
          <w:lang w:eastAsia="pt-BR"/>
        </w:rPr>
        <w:t>Considerando a responsabilidade do Ministério da Saúde pelo monitoramento da utilização dos recursos da Atenção Básica transferidos para Municípios e Distrito Federal; e</w:t>
      </w:r>
      <w:r w:rsidRPr="00063BF6">
        <w:rPr>
          <w:rFonts w:ascii="Times New Roman" w:hAnsi="Times New Roman"/>
          <w:sz w:val="24"/>
          <w:szCs w:val="24"/>
          <w:lang w:eastAsia="pt-BR"/>
        </w:rPr>
        <w:br/>
        <w:t>Considerando a existência de irregularidades no cadastramento de profissionais da Saúde da Família identificadas no Sistema de Cadastro Nacional de Estabelecimentos de Saúde - SCNES, resolve:</w:t>
      </w:r>
      <w:r w:rsidRPr="00063BF6">
        <w:rPr>
          <w:rFonts w:ascii="Times New Roman" w:hAnsi="Times New Roman"/>
          <w:sz w:val="24"/>
          <w:szCs w:val="24"/>
          <w:lang w:eastAsia="pt-BR"/>
        </w:rPr>
        <w:br/>
      </w:r>
    </w:p>
    <w:p w:rsidR="00095D69" w:rsidRPr="00063BF6" w:rsidRDefault="00095D69" w:rsidP="00063BF6">
      <w:pPr>
        <w:spacing w:before="100" w:beforeAutospacing="1" w:after="100" w:afterAutospacing="1" w:line="240" w:lineRule="auto"/>
        <w:ind w:right="-496"/>
        <w:rPr>
          <w:rFonts w:ascii="Times New Roman" w:hAnsi="Times New Roman"/>
          <w:sz w:val="24"/>
          <w:szCs w:val="24"/>
          <w:lang w:eastAsia="pt-BR"/>
        </w:rPr>
      </w:pPr>
      <w:r w:rsidRPr="00063BF6">
        <w:rPr>
          <w:rFonts w:ascii="Times New Roman" w:hAnsi="Times New Roman"/>
          <w:sz w:val="24"/>
          <w:szCs w:val="24"/>
          <w:lang w:eastAsia="pt-BR"/>
        </w:rPr>
        <w:t>Art. 1º Suspender a transferência de incentivos financeiros referentes ao número de equipes de Saúde da Família, de equipes Saúde Bucal e de Agentes Comunitários de Saúde, da competência financeira maio de 2011, dos Municípios que apresentaram duplicidade no cadastro de profissionais no SCNES, relacionados no Anexo a esta Portaria.</w:t>
      </w:r>
    </w:p>
    <w:p w:rsidR="00095D69" w:rsidRPr="00063BF6" w:rsidRDefault="00095D69" w:rsidP="00063BF6">
      <w:pPr>
        <w:spacing w:after="0" w:line="240" w:lineRule="auto"/>
        <w:ind w:right="-496"/>
        <w:rPr>
          <w:rFonts w:ascii="Times New Roman" w:hAnsi="Times New Roman"/>
          <w:sz w:val="24"/>
          <w:szCs w:val="24"/>
          <w:lang w:eastAsia="pt-BR"/>
        </w:rPr>
      </w:pPr>
      <w:r w:rsidRPr="00063BF6">
        <w:rPr>
          <w:rFonts w:ascii="Times New Roman" w:hAnsi="Times New Roman"/>
          <w:sz w:val="24"/>
          <w:szCs w:val="24"/>
          <w:lang w:eastAsia="pt-BR"/>
        </w:rPr>
        <w:br/>
        <w:t>Art. 2º Esta Portaria entra em vigor na data de sua publicação.</w:t>
      </w:r>
    </w:p>
    <w:p w:rsidR="00095D69" w:rsidRPr="00063BF6" w:rsidRDefault="00095D69" w:rsidP="00063BF6">
      <w:pPr>
        <w:spacing w:before="100" w:beforeAutospacing="1" w:after="100" w:afterAutospacing="1" w:line="240" w:lineRule="auto"/>
        <w:ind w:right="-496"/>
        <w:rPr>
          <w:rFonts w:ascii="Times New Roman" w:hAnsi="Times New Roman"/>
          <w:sz w:val="24"/>
          <w:szCs w:val="24"/>
          <w:lang w:eastAsia="pt-BR"/>
        </w:rPr>
      </w:pPr>
      <w:r w:rsidRPr="00063BF6">
        <w:rPr>
          <w:rFonts w:ascii="Times New Roman" w:hAnsi="Times New Roman"/>
          <w:sz w:val="24"/>
          <w:szCs w:val="24"/>
          <w:lang w:eastAsia="pt-BR"/>
        </w:rPr>
        <w:t> </w:t>
      </w:r>
    </w:p>
    <w:p w:rsidR="00095D69" w:rsidRPr="00063BF6" w:rsidRDefault="00095D69" w:rsidP="00063BF6">
      <w:pPr>
        <w:spacing w:before="100" w:beforeAutospacing="1" w:after="100" w:afterAutospacing="1" w:line="240" w:lineRule="auto"/>
        <w:ind w:right="-496"/>
        <w:rPr>
          <w:rFonts w:ascii="Times New Roman" w:hAnsi="Times New Roman"/>
          <w:sz w:val="24"/>
          <w:szCs w:val="24"/>
          <w:lang w:eastAsia="pt-BR"/>
        </w:rPr>
      </w:pPr>
      <w:r w:rsidRPr="00063BF6">
        <w:rPr>
          <w:rFonts w:ascii="Times New Roman" w:hAnsi="Times New Roman"/>
          <w:sz w:val="24"/>
          <w:szCs w:val="24"/>
          <w:lang w:eastAsia="pt-BR"/>
        </w:rPr>
        <w:t>ALEXANDRE ROCHA SANTOS PADILHA</w:t>
      </w:r>
    </w:p>
    <w:p w:rsidR="00095D69" w:rsidRDefault="00095D69" w:rsidP="00CF44BD">
      <w:pPr>
        <w:spacing w:line="240" w:lineRule="auto"/>
        <w:jc w:val="center"/>
        <w:rPr>
          <w:rFonts w:ascii="Verdana" w:hAnsi="Verdana"/>
          <w:b/>
          <w:bCs/>
          <w:color w:val="003366"/>
          <w:sz w:val="23"/>
          <w:szCs w:val="23"/>
          <w:lang w:eastAsia="pt-BR"/>
        </w:rPr>
      </w:pPr>
    </w:p>
    <w:p w:rsidR="00095D69" w:rsidRDefault="00095D69" w:rsidP="00CF44BD">
      <w:pPr>
        <w:spacing w:line="240" w:lineRule="auto"/>
        <w:jc w:val="center"/>
        <w:rPr>
          <w:rFonts w:ascii="Verdana" w:hAnsi="Verdana"/>
          <w:b/>
          <w:bCs/>
          <w:color w:val="003366"/>
          <w:sz w:val="23"/>
          <w:szCs w:val="23"/>
          <w:lang w:eastAsia="pt-BR"/>
        </w:rPr>
      </w:pPr>
      <w:r>
        <w:rPr>
          <w:rFonts w:ascii="Verdana" w:hAnsi="Verdana"/>
          <w:b/>
          <w:bCs/>
          <w:color w:val="003366"/>
          <w:sz w:val="23"/>
          <w:szCs w:val="23"/>
          <w:lang w:eastAsia="pt-BR"/>
        </w:rPr>
        <w:t>ANEXO</w:t>
      </w:r>
    </w:p>
    <w:p w:rsidR="00095D69" w:rsidRDefault="00095D69" w:rsidP="00CF44BD">
      <w:pPr>
        <w:spacing w:line="240" w:lineRule="auto"/>
        <w:jc w:val="center"/>
        <w:rPr>
          <w:rFonts w:ascii="Verdana" w:hAnsi="Verdana"/>
          <w:b/>
          <w:bCs/>
          <w:color w:val="003366"/>
          <w:sz w:val="23"/>
          <w:szCs w:val="23"/>
          <w:lang w:eastAsia="pt-BR"/>
        </w:rPr>
      </w:pP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36"/>
        <w:gridCol w:w="1129"/>
        <w:gridCol w:w="1683"/>
        <w:gridCol w:w="1440"/>
        <w:gridCol w:w="1440"/>
        <w:gridCol w:w="1440"/>
        <w:gridCol w:w="1440"/>
      </w:tblGrid>
      <w:tr w:rsidR="00095D69" w:rsidTr="00EB32EB">
        <w:tc>
          <w:tcPr>
            <w:tcW w:w="536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/>
                <w:sz w:val="24"/>
                <w:szCs w:val="24"/>
                <w:lang w:eastAsia="pt-BR"/>
              </w:rPr>
              <w:t xml:space="preserve">UF   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lang w:eastAsia="pt-BR"/>
              </w:rPr>
            </w:pPr>
            <w:r w:rsidRPr="00EB32EB">
              <w:rPr>
                <w:rFonts w:ascii="Times New Roman" w:hAnsi="Times New Roman"/>
                <w:b/>
                <w:lang w:eastAsia="pt-BR"/>
              </w:rPr>
              <w:t>CÓDIGO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/>
                <w:sz w:val="24"/>
                <w:szCs w:val="24"/>
                <w:lang w:eastAsia="pt-BR"/>
              </w:rPr>
              <w:t xml:space="preserve">   MUNICÍPIO     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/>
                <w:sz w:val="24"/>
                <w:szCs w:val="24"/>
                <w:lang w:eastAsia="pt-BR"/>
              </w:rPr>
              <w:t xml:space="preserve">ESF Irregulares    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/>
                <w:sz w:val="24"/>
                <w:szCs w:val="24"/>
                <w:lang w:eastAsia="pt-BR"/>
              </w:rPr>
              <w:t xml:space="preserve">ESB1 Irregulares    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/>
                <w:sz w:val="24"/>
                <w:szCs w:val="24"/>
                <w:lang w:eastAsia="pt-BR"/>
              </w:rPr>
              <w:t xml:space="preserve">ESB2 Irregulares      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/>
                <w:sz w:val="24"/>
                <w:szCs w:val="24"/>
                <w:lang w:eastAsia="pt-BR"/>
              </w:rPr>
              <w:t>ACS Irregulares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EB32EB">
            <w:pPr>
              <w:spacing w:line="240" w:lineRule="auto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4200101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Aberlado Luz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7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063BF6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4200705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Alfredo Wagner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7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063BF6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4200804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Anchieta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6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063BF6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4202107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Barra velha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6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063BF6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4203303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Campo Alegre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7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063BF6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4204178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Cerro Negro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12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063BF6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4204558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Correia Pinto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5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063BF6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4205175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Entre Rios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12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063BF6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4209102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Joinville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02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063BF6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4209300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Lages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6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Verdana" w:hAnsi="Verdana"/>
                <w:b/>
                <w:bCs/>
                <w:color w:val="003366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4 2 11 0 5 8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Monte Carlo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BF429C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4 2 11 3 0 6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Navegantes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7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BF429C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4215075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Riqueza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BF429C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4216503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São Joaquim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BF429C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4216602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São José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6</w:t>
            </w:r>
          </w:p>
        </w:tc>
      </w:tr>
      <w:tr w:rsidR="00095D69" w:rsidTr="00EB32EB">
        <w:tc>
          <w:tcPr>
            <w:tcW w:w="536" w:type="dxa"/>
          </w:tcPr>
          <w:p w:rsidR="00095D69" w:rsidRPr="00EB32EB" w:rsidRDefault="00095D69" w:rsidP="00BF429C">
            <w:pPr>
              <w:rPr>
                <w:rFonts w:ascii="Times New Roman" w:hAnsi="Times New Roman"/>
                <w:sz w:val="24"/>
                <w:szCs w:val="24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SC</w:t>
            </w:r>
          </w:p>
        </w:tc>
        <w:tc>
          <w:tcPr>
            <w:tcW w:w="1129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sz w:val="24"/>
                <w:szCs w:val="24"/>
                <w:lang w:eastAsia="pt-BR"/>
              </w:rPr>
              <w:t>4219606</w:t>
            </w:r>
          </w:p>
        </w:tc>
        <w:tc>
          <w:tcPr>
            <w:tcW w:w="1683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Xavantina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1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0</w:t>
            </w:r>
          </w:p>
        </w:tc>
        <w:tc>
          <w:tcPr>
            <w:tcW w:w="1440" w:type="dxa"/>
          </w:tcPr>
          <w:p w:rsidR="00095D69" w:rsidRPr="00EB32EB" w:rsidRDefault="00095D69" w:rsidP="00EB32EB">
            <w:pPr>
              <w:spacing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</w:pPr>
            <w:r w:rsidRPr="00EB32EB">
              <w:rPr>
                <w:rFonts w:ascii="Times New Roman" w:hAnsi="Times New Roman"/>
                <w:bCs/>
                <w:sz w:val="24"/>
                <w:szCs w:val="24"/>
                <w:lang w:eastAsia="pt-BR"/>
              </w:rPr>
              <w:t>6</w:t>
            </w:r>
          </w:p>
        </w:tc>
      </w:tr>
    </w:tbl>
    <w:p w:rsidR="00095D69" w:rsidRDefault="00095D69" w:rsidP="00CF44BD">
      <w:pPr>
        <w:spacing w:line="240" w:lineRule="auto"/>
        <w:jc w:val="center"/>
        <w:rPr>
          <w:rFonts w:ascii="Verdana" w:hAnsi="Verdana"/>
          <w:b/>
          <w:bCs/>
          <w:color w:val="003366"/>
          <w:sz w:val="23"/>
          <w:szCs w:val="23"/>
          <w:lang w:eastAsia="pt-BR"/>
        </w:rPr>
      </w:pPr>
    </w:p>
    <w:sectPr w:rsidR="00095D69" w:rsidSect="00D24C1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F44BD"/>
    <w:rsid w:val="00063BF6"/>
    <w:rsid w:val="00095D69"/>
    <w:rsid w:val="001C0FF1"/>
    <w:rsid w:val="001F2CFB"/>
    <w:rsid w:val="00217B69"/>
    <w:rsid w:val="003D6F33"/>
    <w:rsid w:val="004D1780"/>
    <w:rsid w:val="004F379F"/>
    <w:rsid w:val="006248E3"/>
    <w:rsid w:val="00770515"/>
    <w:rsid w:val="007931A7"/>
    <w:rsid w:val="007B0CCF"/>
    <w:rsid w:val="007C165B"/>
    <w:rsid w:val="008C0C31"/>
    <w:rsid w:val="00B824AB"/>
    <w:rsid w:val="00BF429C"/>
    <w:rsid w:val="00CF44BD"/>
    <w:rsid w:val="00D12FA0"/>
    <w:rsid w:val="00D1769A"/>
    <w:rsid w:val="00D24C16"/>
    <w:rsid w:val="00D842A4"/>
    <w:rsid w:val="00EB32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4C16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F44BD"/>
    <w:pPr>
      <w:spacing w:before="100" w:beforeAutospacing="1" w:after="100" w:afterAutospacing="1" w:line="240" w:lineRule="auto"/>
      <w:jc w:val="center"/>
      <w:outlineLvl w:val="0"/>
    </w:pPr>
    <w:rPr>
      <w:rFonts w:ascii="Arial" w:eastAsia="Times New Roman" w:hAnsi="Arial" w:cs="Arial"/>
      <w:b/>
      <w:bCs/>
      <w:caps/>
      <w:color w:val="000000"/>
      <w:kern w:val="36"/>
      <w:sz w:val="23"/>
      <w:szCs w:val="23"/>
      <w:lang w:eastAsia="pt-BR"/>
    </w:rPr>
  </w:style>
  <w:style w:type="paragraph" w:styleId="Heading2">
    <w:name w:val="heading 2"/>
    <w:basedOn w:val="Normal"/>
    <w:link w:val="Heading2Char"/>
    <w:uiPriority w:val="99"/>
    <w:qFormat/>
    <w:rsid w:val="00CF44BD"/>
    <w:pPr>
      <w:spacing w:before="100" w:beforeAutospacing="1" w:after="100" w:afterAutospacing="1" w:line="240" w:lineRule="auto"/>
      <w:jc w:val="center"/>
      <w:outlineLvl w:val="1"/>
    </w:pPr>
    <w:rPr>
      <w:rFonts w:ascii="Arial" w:eastAsia="Times New Roman" w:hAnsi="Arial" w:cs="Arial"/>
      <w:b/>
      <w:bCs/>
      <w:color w:val="000000"/>
      <w:sz w:val="21"/>
      <w:szCs w:val="21"/>
      <w:lang w:eastAsia="pt-BR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F44BD"/>
    <w:rPr>
      <w:rFonts w:ascii="Arial" w:hAnsi="Arial" w:cs="Arial"/>
      <w:b/>
      <w:bCs/>
      <w:caps/>
      <w:color w:val="000000"/>
      <w:kern w:val="36"/>
      <w:sz w:val="23"/>
      <w:szCs w:val="23"/>
      <w:lang w:eastAsia="pt-BR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CF44BD"/>
    <w:rPr>
      <w:rFonts w:ascii="Arial" w:hAnsi="Arial" w:cs="Arial"/>
      <w:b/>
      <w:bCs/>
      <w:color w:val="000000"/>
      <w:sz w:val="21"/>
      <w:szCs w:val="21"/>
      <w:lang w:eastAsia="pt-BR"/>
    </w:rPr>
  </w:style>
  <w:style w:type="paragraph" w:styleId="NormalWeb">
    <w:name w:val="Normal (Web)"/>
    <w:basedOn w:val="Normal"/>
    <w:uiPriority w:val="99"/>
    <w:semiHidden/>
    <w:rsid w:val="00CF44BD"/>
    <w:pPr>
      <w:spacing w:before="100" w:beforeAutospacing="1" w:after="100" w:afterAutospacing="1" w:line="240" w:lineRule="auto"/>
      <w:ind w:firstLine="567"/>
      <w:jc w:val="both"/>
    </w:pPr>
    <w:rPr>
      <w:rFonts w:ascii="Arial" w:eastAsia="Times New Roman" w:hAnsi="Arial" w:cs="Arial"/>
      <w:color w:val="000000"/>
      <w:sz w:val="20"/>
      <w:szCs w:val="20"/>
      <w:lang w:eastAsia="pt-BR"/>
    </w:rPr>
  </w:style>
  <w:style w:type="paragraph" w:customStyle="1" w:styleId="textocenter">
    <w:name w:val="texto_center"/>
    <w:basedOn w:val="Normal"/>
    <w:uiPriority w:val="99"/>
    <w:rsid w:val="00CF44BD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20"/>
      <w:szCs w:val="20"/>
      <w:lang w:eastAsia="pt-BR"/>
    </w:rPr>
  </w:style>
  <w:style w:type="paragraph" w:customStyle="1" w:styleId="ementa">
    <w:name w:val="ementa"/>
    <w:basedOn w:val="Normal"/>
    <w:uiPriority w:val="99"/>
    <w:rsid w:val="00CF44BD"/>
    <w:pPr>
      <w:spacing w:before="100" w:beforeAutospacing="1" w:after="450" w:line="240" w:lineRule="auto"/>
      <w:ind w:left="5850"/>
      <w:jc w:val="both"/>
    </w:pPr>
    <w:rPr>
      <w:rFonts w:ascii="Arial" w:eastAsia="Times New Roman" w:hAnsi="Arial" w:cs="Arial"/>
      <w:b/>
      <w:bCs/>
      <w:i/>
      <w:iCs/>
      <w:color w:val="000000"/>
      <w:sz w:val="20"/>
      <w:szCs w:val="20"/>
      <w:lang w:eastAsia="pt-BR"/>
    </w:rPr>
  </w:style>
  <w:style w:type="character" w:customStyle="1" w:styleId="legendab1">
    <w:name w:val="legendab1"/>
    <w:basedOn w:val="DefaultParagraphFont"/>
    <w:uiPriority w:val="99"/>
    <w:rsid w:val="00CF44BD"/>
    <w:rPr>
      <w:rFonts w:ascii="Verdana" w:hAnsi="Verdana" w:cs="Times New Roman"/>
      <w:color w:val="003366"/>
      <w:sz w:val="18"/>
      <w:szCs w:val="18"/>
    </w:rPr>
  </w:style>
  <w:style w:type="character" w:styleId="Strong">
    <w:name w:val="Strong"/>
    <w:basedOn w:val="DefaultParagraphFont"/>
    <w:uiPriority w:val="99"/>
    <w:qFormat/>
    <w:locked/>
    <w:rsid w:val="00063BF6"/>
    <w:rPr>
      <w:rFonts w:cs="Times New Roman"/>
      <w:b/>
      <w:bCs/>
    </w:rPr>
  </w:style>
  <w:style w:type="table" w:styleId="TableGrid">
    <w:name w:val="Table Grid"/>
    <w:basedOn w:val="TableNormal"/>
    <w:uiPriority w:val="99"/>
    <w:locked/>
    <w:rsid w:val="00063BF6"/>
    <w:pPr>
      <w:spacing w:after="200" w:line="276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5047904">
      <w:marLeft w:val="150"/>
      <w:marRight w:val="150"/>
      <w:marTop w:val="1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047903">
              <w:marLeft w:val="0"/>
              <w:marRight w:val="0"/>
              <w:marTop w:val="750"/>
              <w:marBottom w:val="300"/>
              <w:divBdr>
                <w:top w:val="single" w:sz="6" w:space="4" w:color="666666"/>
                <w:left w:val="none" w:sz="0" w:space="0" w:color="auto"/>
                <w:bottom w:val="single" w:sz="6" w:space="4" w:color="666666"/>
                <w:right w:val="none" w:sz="0" w:space="0" w:color="auto"/>
              </w:divBdr>
            </w:div>
            <w:div w:id="1485047905">
              <w:marLeft w:val="0"/>
              <w:marRight w:val="0"/>
              <w:marTop w:val="75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5047910">
      <w:marLeft w:val="15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04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04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047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0479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5047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5047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85047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5047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http://bvsms.saude.gov.br/bvs/saudelegis/imagens/brasao.gif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</TotalTime>
  <Pages>2</Pages>
  <Words>395</Words>
  <Characters>2135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Ministério da Saúde</dc:title>
  <dc:subject/>
  <dc:creator>Baltazarmlf</dc:creator>
  <cp:keywords/>
  <dc:description/>
  <cp:lastModifiedBy>GEABS</cp:lastModifiedBy>
  <cp:revision>3</cp:revision>
  <cp:lastPrinted>2011-07-05T21:34:00Z</cp:lastPrinted>
  <dcterms:created xsi:type="dcterms:W3CDTF">2011-07-05T21:35:00Z</dcterms:created>
  <dcterms:modified xsi:type="dcterms:W3CDTF">2011-07-08T17:18:00Z</dcterms:modified>
</cp:coreProperties>
</file>