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76D" w:rsidRPr="00B469C5" w:rsidRDefault="00EB776D" w:rsidP="004E30E9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3.5pt;height:45.75pt">
            <v:imagedata r:id="rId4" r:href="rId5"/>
          </v:shape>
        </w:pict>
      </w:r>
    </w:p>
    <w:p w:rsidR="00EB776D" w:rsidRDefault="00EB776D" w:rsidP="004E30E9">
      <w:pPr>
        <w:jc w:val="center"/>
        <w:rPr>
          <w:rFonts w:ascii="Verdana" w:hAnsi="Verdana"/>
          <w:b/>
          <w:bCs/>
          <w:color w:val="003366"/>
          <w:sz w:val="30"/>
          <w:szCs w:val="30"/>
        </w:rPr>
      </w:pPr>
      <w:r w:rsidRPr="00B469C5">
        <w:rPr>
          <w:rFonts w:ascii="Verdana" w:hAnsi="Verdana"/>
          <w:b/>
          <w:bCs/>
          <w:color w:val="003366"/>
          <w:sz w:val="30"/>
          <w:szCs w:val="30"/>
        </w:rPr>
        <w:t>Ministério da Saúde</w:t>
      </w:r>
      <w:r w:rsidRPr="00B469C5">
        <w:rPr>
          <w:rFonts w:ascii="Verdana" w:hAnsi="Verdana"/>
          <w:b/>
          <w:bCs/>
          <w:color w:val="003366"/>
          <w:sz w:val="30"/>
          <w:szCs w:val="30"/>
        </w:rPr>
        <w:br/>
      </w:r>
      <w:r w:rsidRPr="00B469C5">
        <w:rPr>
          <w:rFonts w:ascii="Verdana" w:hAnsi="Verdana"/>
          <w:b/>
          <w:bCs/>
          <w:color w:val="003366"/>
        </w:rPr>
        <w:t>Gabinete do Ministro</w:t>
      </w:r>
    </w:p>
    <w:p w:rsidR="00EB776D" w:rsidRPr="004E30E9" w:rsidRDefault="00EB776D" w:rsidP="004E30E9">
      <w:pPr>
        <w:jc w:val="center"/>
        <w:rPr>
          <w:rFonts w:ascii="Times New Roman" w:hAnsi="Times New Roman"/>
          <w:b/>
          <w:bCs/>
          <w:color w:val="003366"/>
          <w:sz w:val="24"/>
          <w:szCs w:val="24"/>
        </w:rPr>
      </w:pP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outlineLvl w:val="0"/>
        <w:rPr>
          <w:rFonts w:ascii="Times New Roman" w:hAnsi="Times New Roman"/>
          <w:b/>
          <w:bCs/>
          <w:caps/>
          <w:color w:val="000000"/>
          <w:kern w:val="36"/>
          <w:sz w:val="24"/>
          <w:szCs w:val="24"/>
          <w:lang w:eastAsia="pt-BR"/>
        </w:rPr>
      </w:pPr>
      <w:r w:rsidRPr="004E30E9">
        <w:rPr>
          <w:rFonts w:ascii="Times New Roman" w:hAnsi="Times New Roman"/>
          <w:b/>
          <w:bCs/>
          <w:caps/>
          <w:color w:val="000000"/>
          <w:kern w:val="36"/>
          <w:sz w:val="24"/>
          <w:szCs w:val="24"/>
          <w:lang w:eastAsia="pt-BR"/>
        </w:rPr>
        <w:t xml:space="preserve">PORTARIA Nº 1.399, DE 15 DE JUNHO DE 2011 </w:t>
      </w: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outlineLvl w:val="0"/>
        <w:rPr>
          <w:rFonts w:ascii="Times New Roman" w:hAnsi="Times New Roman"/>
          <w:b/>
          <w:bCs/>
          <w:caps/>
          <w:color w:val="000000"/>
          <w:kern w:val="36"/>
          <w:sz w:val="24"/>
          <w:szCs w:val="24"/>
          <w:lang w:eastAsia="pt-BR"/>
        </w:rPr>
      </w:pPr>
    </w:p>
    <w:p w:rsidR="00EB776D" w:rsidRPr="004E30E9" w:rsidRDefault="00EB776D" w:rsidP="00701C70">
      <w:pPr>
        <w:spacing w:before="100" w:beforeAutospacing="1" w:after="450" w:line="240" w:lineRule="auto"/>
        <w:jc w:val="both"/>
        <w:rPr>
          <w:rFonts w:ascii="Times New Roman" w:hAnsi="Times New Roman"/>
          <w:b/>
          <w:bCs/>
          <w:i/>
          <w:iCs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b/>
          <w:bCs/>
          <w:i/>
          <w:iCs/>
          <w:color w:val="000000"/>
          <w:sz w:val="24"/>
          <w:szCs w:val="24"/>
          <w:lang w:eastAsia="pt-BR"/>
        </w:rPr>
        <w:t>Credencia Municípios a receberem os incentivos às estratégias de Agentes Comunitários de Saúde e Saúde da Família.</w:t>
      </w:r>
    </w:p>
    <w:p w:rsidR="00EB776D" w:rsidRPr="004E30E9" w:rsidRDefault="00EB776D" w:rsidP="0005782C">
      <w:pPr>
        <w:spacing w:before="100" w:beforeAutospacing="1" w:after="100" w:afterAutospacing="1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O MINISTRO DE ESTADO DA SAÚDE, no uso de suas atribuições, e considerando o</w:t>
      </w:r>
    </w:p>
    <w:p w:rsidR="00EB776D" w:rsidRPr="004E30E9" w:rsidRDefault="00EB776D" w:rsidP="0005782C">
      <w:pPr>
        <w:spacing w:before="100" w:beforeAutospacing="1" w:after="100" w:afterAutospacing="1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estabelecido pelas Portarias no 648/GM/MS e no 650/GM/MS, de 28 de março de 2006, bem como as metas físico-financeiras estaduais, resolve:</w:t>
      </w:r>
    </w:p>
    <w:p w:rsidR="00EB776D" w:rsidRPr="004E30E9" w:rsidRDefault="00EB776D" w:rsidP="0005782C">
      <w:pPr>
        <w:spacing w:before="100" w:beforeAutospacing="1" w:after="100" w:afterAutospacing="1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Art. 1º Credenciar os Municípios descritos no Anexo II a esta Portaria, dos Estados relacionados no Anexo I, a receberem os incentivos às estratégias de Agentes Comunitários de Saúde e Saúde da Família.</w:t>
      </w:r>
    </w:p>
    <w:p w:rsidR="00EB776D" w:rsidRPr="004E30E9" w:rsidRDefault="00EB776D" w:rsidP="0005782C">
      <w:pPr>
        <w:spacing w:before="100" w:beforeAutospacing="1" w:after="100" w:afterAutospacing="1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Parágrafo único. Os recursos orçamentários, objeto desta Portaria, correrão por conta do orçamento do Ministério da Saúde, devendo onerar a Funcional Programática 10.301.1214.20AD - Piso de Atenção Básica Variável - Saúde da Família, para implantação de novas equipes e contratações de agentes comunitários de saúde.</w:t>
      </w:r>
    </w:p>
    <w:p w:rsidR="00EB776D" w:rsidRPr="004E30E9" w:rsidRDefault="00EB776D" w:rsidP="0005782C">
      <w:pPr>
        <w:spacing w:before="100" w:beforeAutospacing="1" w:after="100" w:afterAutospacing="1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Art. 2º Esta Portaria entra em vigor na data da sua publicação, com efeitos financeiros a partir de 1º de maio de 2011.</w:t>
      </w: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outlineLvl w:val="1"/>
        <w:rPr>
          <w:rFonts w:ascii="Times New Roman" w:hAnsi="Times New Roman"/>
          <w:b/>
          <w:bCs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b/>
          <w:bCs/>
          <w:color w:val="000000"/>
          <w:sz w:val="24"/>
          <w:szCs w:val="24"/>
          <w:lang w:eastAsia="pt-BR"/>
        </w:rPr>
        <w:t>ALEXANDRE ROCHA SANTOS PADILHA</w:t>
      </w: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ANEXO I</w:t>
      </w: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 xml:space="preserve">MUNICÍPIOS CREDENCIADOS PARA RECEBIMENTO DOS INCENTIVOS A EACS E ESF </w:t>
      </w:r>
    </w:p>
    <w:tbl>
      <w:tblPr>
        <w:tblW w:w="0" w:type="auto"/>
        <w:jc w:val="center"/>
        <w:tblInd w:w="10" w:type="dxa"/>
        <w:tblCellMar>
          <w:left w:w="0" w:type="dxa"/>
          <w:right w:w="0" w:type="dxa"/>
        </w:tblCellMar>
        <w:tblLook w:val="00A0"/>
      </w:tblPr>
      <w:tblGrid>
        <w:gridCol w:w="150"/>
        <w:gridCol w:w="941"/>
        <w:gridCol w:w="2025"/>
        <w:gridCol w:w="1695"/>
        <w:gridCol w:w="1425"/>
      </w:tblGrid>
      <w:tr w:rsidR="00EB776D" w:rsidRPr="004E30E9" w:rsidTr="004E30E9">
        <w:trPr>
          <w:jc w:val="center"/>
        </w:trPr>
        <w:tc>
          <w:tcPr>
            <w:tcW w:w="146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41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UF</w:t>
            </w:r>
          </w:p>
        </w:tc>
        <w:tc>
          <w:tcPr>
            <w:tcW w:w="2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6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AGENTES</w:t>
            </w:r>
          </w:p>
        </w:tc>
        <w:tc>
          <w:tcPr>
            <w:tcW w:w="14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EQUIPES</w:t>
            </w:r>
          </w:p>
        </w:tc>
      </w:tr>
      <w:tr w:rsidR="00EB776D" w:rsidRPr="004E30E9" w:rsidTr="004E30E9">
        <w:trPr>
          <w:jc w:val="center"/>
        </w:trPr>
        <w:tc>
          <w:tcPr>
            <w:tcW w:w="146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41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2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16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142</w:t>
            </w:r>
          </w:p>
        </w:tc>
        <w:tc>
          <w:tcPr>
            <w:tcW w:w="14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21</w:t>
            </w:r>
          </w:p>
        </w:tc>
      </w:tr>
      <w:tr w:rsidR="00EB776D" w:rsidRPr="004E30E9" w:rsidTr="004E30E9">
        <w:trPr>
          <w:jc w:val="center"/>
        </w:trPr>
        <w:tc>
          <w:tcPr>
            <w:tcW w:w="146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41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2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6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EB776D" w:rsidRDefault="00EB776D" w:rsidP="004E30E9">
      <w:pPr>
        <w:spacing w:before="100" w:beforeAutospacing="1" w:after="100" w:afterAutospacing="1" w:line="240" w:lineRule="auto"/>
        <w:rPr>
          <w:rFonts w:ascii="Arial" w:hAnsi="Arial" w:cs="Arial"/>
          <w:color w:val="000000"/>
          <w:sz w:val="20"/>
          <w:szCs w:val="20"/>
          <w:lang w:eastAsia="pt-BR"/>
        </w:rPr>
      </w:pPr>
    </w:p>
    <w:p w:rsidR="00EB776D" w:rsidRDefault="00EB776D" w:rsidP="0005782C">
      <w:pPr>
        <w:spacing w:before="100" w:beforeAutospacing="1" w:after="100" w:afterAutospacing="1" w:line="240" w:lineRule="auto"/>
        <w:jc w:val="center"/>
        <w:rPr>
          <w:rFonts w:ascii="Arial" w:hAnsi="Arial" w:cs="Arial"/>
          <w:color w:val="000000"/>
          <w:sz w:val="20"/>
          <w:szCs w:val="20"/>
          <w:lang w:eastAsia="pt-BR"/>
        </w:rPr>
      </w:pP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ANEXO II</w:t>
      </w:r>
    </w:p>
    <w:p w:rsidR="00EB776D" w:rsidRPr="004E30E9" w:rsidRDefault="00EB776D" w:rsidP="0005782C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4E30E9">
        <w:rPr>
          <w:rFonts w:ascii="Times New Roman" w:hAnsi="Times New Roman"/>
          <w:color w:val="000000"/>
          <w:sz w:val="24"/>
          <w:szCs w:val="24"/>
          <w:lang w:eastAsia="pt-BR"/>
        </w:rPr>
        <w:t>MUNICÍPIOS CREDENCIADOS PARA RECEBIMENTO DOS INCENTIVOS A EACS E ESF</w:t>
      </w:r>
    </w:p>
    <w:tbl>
      <w:tblPr>
        <w:tblW w:w="0" w:type="auto"/>
        <w:jc w:val="center"/>
        <w:tblInd w:w="10" w:type="dxa"/>
        <w:tblCellMar>
          <w:left w:w="0" w:type="dxa"/>
          <w:right w:w="0" w:type="dxa"/>
        </w:tblCellMar>
        <w:tblLook w:val="00A0"/>
      </w:tblPr>
      <w:tblGrid>
        <w:gridCol w:w="1065"/>
        <w:gridCol w:w="1370"/>
        <w:gridCol w:w="2104"/>
        <w:gridCol w:w="1238"/>
        <w:gridCol w:w="1144"/>
      </w:tblGrid>
      <w:tr w:rsidR="00EB776D" w:rsidRPr="004E30E9" w:rsidTr="004E30E9">
        <w:trPr>
          <w:trHeight w:val="236"/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 </w:t>
            </w:r>
          </w:p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UF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 </w:t>
            </w:r>
          </w:p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CÓD. MUN.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 </w:t>
            </w:r>
          </w:p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 </w:t>
            </w:r>
          </w:p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AGENTES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 </w:t>
            </w:r>
          </w:p>
          <w:p w:rsidR="00EB776D" w:rsidRPr="004E30E9" w:rsidRDefault="00EB776D" w:rsidP="009F617A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b/>
                <w:color w:val="000000"/>
                <w:sz w:val="24"/>
                <w:szCs w:val="24"/>
                <w:lang w:eastAsia="pt-BR"/>
              </w:rPr>
              <w:t>EQUIPES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575E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 xml:space="preserve">Total 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575E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575E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2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575E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30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9575E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3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4203808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CANOINHAS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27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4208450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ITAPOA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29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5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4210605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MASSARANDUBA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35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4215307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SALETE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19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3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4217600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SIDEROPOLIS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32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5</w:t>
            </w:r>
          </w:p>
        </w:tc>
      </w:tr>
      <w:tr w:rsidR="00EB776D" w:rsidRPr="004E30E9" w:rsidTr="004E30E9">
        <w:trPr>
          <w:jc w:val="center"/>
        </w:trPr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Total da UF:</w:t>
            </w:r>
          </w:p>
        </w:tc>
        <w:tc>
          <w:tcPr>
            <w:tcW w:w="13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6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142</w:t>
            </w:r>
          </w:p>
        </w:tc>
        <w:tc>
          <w:tcPr>
            <w:tcW w:w="10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EB776D" w:rsidRPr="004E30E9" w:rsidRDefault="00EB776D" w:rsidP="0005782C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4E30E9">
              <w:rPr>
                <w:rFonts w:ascii="Times New Roman" w:hAnsi="Times New Roman"/>
                <w:color w:val="000000"/>
                <w:sz w:val="24"/>
                <w:szCs w:val="24"/>
                <w:lang w:eastAsia="pt-BR"/>
              </w:rPr>
              <w:t>21</w:t>
            </w:r>
          </w:p>
        </w:tc>
      </w:tr>
    </w:tbl>
    <w:p w:rsidR="00EB776D" w:rsidRDefault="00EB776D"/>
    <w:sectPr w:rsidR="00EB776D" w:rsidSect="007855A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782C"/>
    <w:rsid w:val="0005782C"/>
    <w:rsid w:val="00115622"/>
    <w:rsid w:val="004406A0"/>
    <w:rsid w:val="004E30E9"/>
    <w:rsid w:val="005A7365"/>
    <w:rsid w:val="00701C70"/>
    <w:rsid w:val="007855A3"/>
    <w:rsid w:val="008260A5"/>
    <w:rsid w:val="008C078D"/>
    <w:rsid w:val="009575E9"/>
    <w:rsid w:val="009F617A"/>
    <w:rsid w:val="00B469C5"/>
    <w:rsid w:val="00B96BCC"/>
    <w:rsid w:val="00E16913"/>
    <w:rsid w:val="00EB77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5A3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5782C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paragraph" w:styleId="Heading2">
    <w:name w:val="heading 2"/>
    <w:basedOn w:val="Normal"/>
    <w:link w:val="Heading2Char"/>
    <w:uiPriority w:val="99"/>
    <w:qFormat/>
    <w:rsid w:val="0005782C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5782C"/>
    <w:rPr>
      <w:rFonts w:ascii="Arial" w:hAnsi="Arial" w:cs="Arial"/>
      <w:b/>
      <w:bCs/>
      <w:caps/>
      <w:color w:val="000000"/>
      <w:kern w:val="36"/>
      <w:sz w:val="23"/>
      <w:szCs w:val="23"/>
      <w:lang w:eastAsia="pt-B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5782C"/>
    <w:rPr>
      <w:rFonts w:ascii="Arial" w:hAnsi="Arial" w:cs="Arial"/>
      <w:b/>
      <w:bCs/>
      <w:color w:val="000000"/>
      <w:sz w:val="21"/>
      <w:szCs w:val="21"/>
      <w:lang w:eastAsia="pt-BR"/>
    </w:rPr>
  </w:style>
  <w:style w:type="paragraph" w:styleId="NormalWeb">
    <w:name w:val="Normal (Web)"/>
    <w:basedOn w:val="Normal"/>
    <w:uiPriority w:val="99"/>
    <w:semiHidden/>
    <w:rsid w:val="0005782C"/>
    <w:pPr>
      <w:spacing w:before="100" w:beforeAutospacing="1" w:after="100" w:afterAutospacing="1" w:line="240" w:lineRule="auto"/>
      <w:ind w:firstLine="567"/>
      <w:jc w:val="both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textocenter">
    <w:name w:val="texto_center"/>
    <w:basedOn w:val="Normal"/>
    <w:uiPriority w:val="99"/>
    <w:rsid w:val="0005782C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ementa">
    <w:name w:val="ementa"/>
    <w:basedOn w:val="Normal"/>
    <w:uiPriority w:val="99"/>
    <w:rsid w:val="0005782C"/>
    <w:pPr>
      <w:spacing w:before="100" w:beforeAutospacing="1" w:after="450" w:line="240" w:lineRule="auto"/>
      <w:ind w:left="5850"/>
      <w:jc w:val="both"/>
    </w:pPr>
    <w:rPr>
      <w:rFonts w:ascii="Arial" w:eastAsia="Times New Roman" w:hAnsi="Arial" w:cs="Arial"/>
      <w:b/>
      <w:bCs/>
      <w:i/>
      <w:iCs/>
      <w:color w:val="00000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9835386">
      <w:marLeft w:val="150"/>
      <w:marRight w:val="15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83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835384">
              <w:marLeft w:val="0"/>
              <w:marRight w:val="0"/>
              <w:marTop w:val="750"/>
              <w:marBottom w:val="300"/>
              <w:divBdr>
                <w:top w:val="single" w:sz="6" w:space="4" w:color="666666"/>
                <w:left w:val="none" w:sz="0" w:space="0" w:color="auto"/>
                <w:bottom w:val="single" w:sz="6" w:space="4" w:color="666666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http://bvsms.saude.gov.br/bvs/saudelegis/imagens/brasao.gif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255</Words>
  <Characters>1382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Baltazarmlf</dc:creator>
  <cp:keywords/>
  <dc:description/>
  <cp:lastModifiedBy>GEABS</cp:lastModifiedBy>
  <cp:revision>2</cp:revision>
  <cp:lastPrinted>2011-07-08T17:08:00Z</cp:lastPrinted>
  <dcterms:created xsi:type="dcterms:W3CDTF">2011-07-08T17:09:00Z</dcterms:created>
  <dcterms:modified xsi:type="dcterms:W3CDTF">2011-07-08T17:09:00Z</dcterms:modified>
</cp:coreProperties>
</file>