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EC8" w:rsidRPr="00457EC8" w:rsidRDefault="00457EC8" w:rsidP="00457EC8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</w:pPr>
      <w:r w:rsidRPr="00457EC8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t>Ministério da Saúde</w:t>
      </w:r>
      <w:r w:rsidRPr="00457EC8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br/>
      </w:r>
      <w:r w:rsidRPr="00457EC8">
        <w:rPr>
          <w:rFonts w:ascii="Verdana" w:eastAsia="Times New Roman" w:hAnsi="Verdana" w:cs="Times New Roman"/>
          <w:b/>
          <w:bCs/>
          <w:color w:val="003366"/>
          <w:sz w:val="18"/>
          <w:lang w:eastAsia="pt-BR"/>
        </w:rPr>
        <w:t>Gabinete do Ministro</w:t>
      </w:r>
    </w:p>
    <w:p w:rsidR="00457EC8" w:rsidRPr="00457EC8" w:rsidRDefault="00457EC8" w:rsidP="00457EC8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457EC8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 xml:space="preserve">PORTARIA Nº 2.424, DE 18 DE OUTUBRO DE 2011 </w:t>
      </w:r>
    </w:p>
    <w:p w:rsidR="00457EC8" w:rsidRPr="00457EC8" w:rsidRDefault="00457EC8" w:rsidP="00457EC8">
      <w:pPr>
        <w:spacing w:before="100" w:beforeAutospacing="1" w:after="450" w:line="240" w:lineRule="auto"/>
        <w:ind w:left="6000"/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 xml:space="preserve">Habilita Municípios a receberem recursos referentes ao Plano Nacional de Implantação de Unidades Básicas de Saúde para Equipes de Saúde da Família.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O MINISTRO DE ESTADO DA SAÚDE, no uso das suas atribuições que lhe conferem os incisos I e II do parágrafo único do art. 87 da Constituição, e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a Portaria nº 648/GM/MS, de 28 de março de 2006, que aprova a Política Nacional de Atenção Básica;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a Portaria nº 204/GM/MS, de 29 de janeiro de 2007, com as suas alterações e os acréscimos estabelecidos pela Portaria nº 837/GM/MS, de 23 de abril de 2009; e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a Portaria nº 2.226/GM/MS, de 18 de setembro de 2009, republicada em 20 de novembro de 2009, que institui no âmbito da Política Nacional de Atenção Básica, o Plano Nacional de Implantação de Unidades Básicas de Saúde para Equipes de Saúde da Família, resolve: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1º Habilitar os Municípios descritos no Anexo a receberem recursos referentes ao Plano Nacional de Implantação de Unidades Básicas de Saúde para Equipes de Saúde da Família.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2º Determinar que o Fundo Nacional de Saúde adote as medidas necessárias à transferência do recurso financeiro de investimento estabelecido no art. 7º da Portaria nº 2.226/GM/MS, de 18 de setembro de 2009, republicada em 20 de novembro de 2009 para os Fundos Municipais de Saúde.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3º Estabelecer que os recursos orçamentários de que trata esta Portaria façam parte do Bloco de Investimentos na Rede de Serviços de Saúde, e que corram por conta do orçamento do Ministério da Saúde, na forma do Anexo I.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4º Esta Portaria entra em vigor na data de sua publicação.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457EC8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 xml:space="preserve">ALEXANDRE ROCHA SANTOS PADILHA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ANEXO </w:t>
      </w:r>
    </w:p>
    <w:p w:rsidR="00457EC8" w:rsidRPr="00457EC8" w:rsidRDefault="00457EC8" w:rsidP="00457EC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57EC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MUNICÍPIOS CREDENCIADOS PARA RECEBIMENTO DO RECURSO 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385"/>
        <w:gridCol w:w="759"/>
        <w:gridCol w:w="1331"/>
        <w:gridCol w:w="1842"/>
        <w:gridCol w:w="450"/>
        <w:gridCol w:w="1094"/>
        <w:gridCol w:w="983"/>
        <w:gridCol w:w="1720"/>
      </w:tblGrid>
      <w:tr w:rsidR="00457EC8" w:rsidRPr="00457EC8" w:rsidTr="00457EC8">
        <w:trPr>
          <w:trHeight w:val="150"/>
          <w:jc w:val="center"/>
        </w:trPr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57EC8" w:rsidRPr="00457EC8" w:rsidRDefault="00457EC8" w:rsidP="00457EC8">
            <w:pPr>
              <w:spacing w:after="0" w:line="150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UF 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57EC8" w:rsidRPr="00457EC8" w:rsidRDefault="00457EC8" w:rsidP="00457EC8">
            <w:pPr>
              <w:spacing w:after="0" w:line="15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IBGE </w:t>
            </w:r>
          </w:p>
        </w:tc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57EC8" w:rsidRPr="00457EC8" w:rsidRDefault="00457EC8" w:rsidP="00457EC8">
            <w:pPr>
              <w:spacing w:after="0" w:line="150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MUNICIPIO </w:t>
            </w:r>
          </w:p>
        </w:tc>
        <w:tc>
          <w:tcPr>
            <w:tcW w:w="2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57EC8" w:rsidRPr="00457EC8" w:rsidRDefault="00457EC8" w:rsidP="00457EC8">
            <w:pPr>
              <w:spacing w:after="0" w:line="150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NU_SUBPROJETO 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57EC8" w:rsidRPr="00457EC8" w:rsidRDefault="00457EC8" w:rsidP="00457EC8">
            <w:pPr>
              <w:spacing w:after="0" w:line="150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ESF </w:t>
            </w:r>
          </w:p>
        </w:tc>
        <w:tc>
          <w:tcPr>
            <w:tcW w:w="17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57EC8" w:rsidRPr="00457EC8" w:rsidRDefault="00457EC8" w:rsidP="00457EC8">
            <w:pPr>
              <w:spacing w:after="0" w:line="150" w:lineRule="atLeast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VALOR (R$) </w:t>
            </w:r>
          </w:p>
        </w:tc>
        <w:tc>
          <w:tcPr>
            <w:tcW w:w="1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57EC8" w:rsidRPr="00457EC8" w:rsidRDefault="00457EC8" w:rsidP="00457EC8">
            <w:pPr>
              <w:spacing w:after="0" w:line="150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EMENDA </w:t>
            </w:r>
          </w:p>
        </w:tc>
        <w:tc>
          <w:tcPr>
            <w:tcW w:w="2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57EC8" w:rsidRPr="00457EC8" w:rsidRDefault="00457EC8" w:rsidP="00457EC8">
            <w:pPr>
              <w:spacing w:after="0" w:line="150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FUNCIONAL PROGRAMÁTICA </w:t>
            </w:r>
          </w:p>
        </w:tc>
      </w:tr>
      <w:tr w:rsidR="00457EC8" w:rsidRPr="00457EC8" w:rsidTr="00457EC8">
        <w:trPr>
          <w:trHeight w:val="330"/>
          <w:jc w:val="center"/>
        </w:trPr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ES </w:t>
            </w:r>
          </w:p>
        </w:tc>
        <w:tc>
          <w:tcPr>
            <w:tcW w:w="11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320520 </w:t>
            </w:r>
          </w:p>
        </w:tc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VILA VELHA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2 7 1 6 5 5 5 4 0 0 0111 0 0 4 </w:t>
            </w:r>
          </w:p>
        </w:tc>
        <w:tc>
          <w:tcPr>
            <w:tcW w:w="7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</w:t>
            </w:r>
          </w:p>
        </w:tc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266.666,66 </w:t>
            </w:r>
          </w:p>
        </w:tc>
        <w:tc>
          <w:tcPr>
            <w:tcW w:w="17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20290015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1 0 3 0 11 2 1 4 8 5 8 1 0 6 9 0 </w:t>
            </w:r>
          </w:p>
        </w:tc>
      </w:tr>
      <w:tr w:rsidR="00457EC8" w:rsidRPr="00457EC8" w:rsidTr="00457EC8">
        <w:trPr>
          <w:trHeight w:val="345"/>
          <w:jc w:val="center"/>
        </w:trPr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ES </w:t>
            </w:r>
          </w:p>
        </w:tc>
        <w:tc>
          <w:tcPr>
            <w:tcW w:w="11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320520 </w:t>
            </w:r>
          </w:p>
        </w:tc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VILA VELHA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2 7 1 6 5 5 5 4 0 0 0111 0 0 8 </w:t>
            </w:r>
          </w:p>
        </w:tc>
        <w:tc>
          <w:tcPr>
            <w:tcW w:w="7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</w:t>
            </w:r>
          </w:p>
        </w:tc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266.666,66 </w:t>
            </w:r>
          </w:p>
        </w:tc>
        <w:tc>
          <w:tcPr>
            <w:tcW w:w="17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20290015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1 0 3 0 11 2 1 4 8 5 8 1 0 6 9 0 </w:t>
            </w:r>
          </w:p>
        </w:tc>
      </w:tr>
      <w:tr w:rsidR="00457EC8" w:rsidRPr="00457EC8" w:rsidTr="00457EC8">
        <w:trPr>
          <w:trHeight w:val="345"/>
          <w:jc w:val="center"/>
        </w:trPr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lastRenderedPageBreak/>
              <w:t xml:space="preserve">ES </w:t>
            </w:r>
          </w:p>
        </w:tc>
        <w:tc>
          <w:tcPr>
            <w:tcW w:w="11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320520 </w:t>
            </w:r>
          </w:p>
        </w:tc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VILA VELHA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2 7 1 6 5 5 5 4 0 0 0111 0 11 </w:t>
            </w:r>
          </w:p>
        </w:tc>
        <w:tc>
          <w:tcPr>
            <w:tcW w:w="7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</w:t>
            </w:r>
          </w:p>
        </w:tc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266.666,66 </w:t>
            </w:r>
          </w:p>
        </w:tc>
        <w:tc>
          <w:tcPr>
            <w:tcW w:w="17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26130020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1 0 3 0 11 2 1 4 8 5 8 1 0 6 9 0 </w:t>
            </w:r>
          </w:p>
        </w:tc>
      </w:tr>
      <w:tr w:rsidR="00457EC8" w:rsidRPr="00457EC8" w:rsidTr="00457EC8">
        <w:trPr>
          <w:trHeight w:val="345"/>
          <w:jc w:val="center"/>
        </w:trPr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ES </w:t>
            </w:r>
          </w:p>
        </w:tc>
        <w:tc>
          <w:tcPr>
            <w:tcW w:w="11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320520 </w:t>
            </w:r>
          </w:p>
        </w:tc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VILA VELHA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2 7 1 6 5 5 5 4 0 0 0111 0 1 2 </w:t>
            </w:r>
          </w:p>
        </w:tc>
        <w:tc>
          <w:tcPr>
            <w:tcW w:w="7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</w:t>
            </w:r>
          </w:p>
        </w:tc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266.666,66 </w:t>
            </w:r>
          </w:p>
        </w:tc>
        <w:tc>
          <w:tcPr>
            <w:tcW w:w="17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26130020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1 0 3 0 11 2 1 4 8 5 8 1 0 6 9 0 </w:t>
            </w:r>
          </w:p>
        </w:tc>
      </w:tr>
      <w:tr w:rsidR="00457EC8" w:rsidRPr="00457EC8" w:rsidTr="00457EC8">
        <w:trPr>
          <w:trHeight w:val="345"/>
          <w:jc w:val="center"/>
        </w:trPr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ES </w:t>
            </w:r>
          </w:p>
        </w:tc>
        <w:tc>
          <w:tcPr>
            <w:tcW w:w="11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320520 </w:t>
            </w:r>
          </w:p>
        </w:tc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VILA VELHA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2 7 1 6 5 5 5 4 0 0 0111 0 1 3 </w:t>
            </w:r>
          </w:p>
        </w:tc>
        <w:tc>
          <w:tcPr>
            <w:tcW w:w="7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</w:t>
            </w:r>
          </w:p>
        </w:tc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266.666,66 </w:t>
            </w:r>
          </w:p>
        </w:tc>
        <w:tc>
          <w:tcPr>
            <w:tcW w:w="17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26130020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1 0 3 0 11 2 1 4 8 5 8 1 0 6 9 0 </w:t>
            </w:r>
          </w:p>
        </w:tc>
      </w:tr>
      <w:tr w:rsidR="00457EC8" w:rsidRPr="00457EC8" w:rsidTr="00457EC8">
        <w:trPr>
          <w:trHeight w:val="345"/>
          <w:jc w:val="center"/>
        </w:trPr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MG </w:t>
            </w:r>
          </w:p>
        </w:tc>
        <w:tc>
          <w:tcPr>
            <w:tcW w:w="11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312160 </w:t>
            </w:r>
          </w:p>
        </w:tc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DIAMANTINA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1 7 7 5 4 1 3 6 0 0 0111 0 1 3 </w:t>
            </w:r>
          </w:p>
        </w:tc>
        <w:tc>
          <w:tcPr>
            <w:tcW w:w="7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</w:t>
            </w:r>
          </w:p>
        </w:tc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200.000,00 </w:t>
            </w:r>
          </w:p>
        </w:tc>
        <w:tc>
          <w:tcPr>
            <w:tcW w:w="17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24840009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1 0 3 0 11 2 1 4 8 5 8 1 0 0 3 1 </w:t>
            </w:r>
          </w:p>
        </w:tc>
      </w:tr>
      <w:tr w:rsidR="00457EC8" w:rsidRPr="00457EC8" w:rsidTr="00457EC8">
        <w:trPr>
          <w:trHeight w:val="345"/>
          <w:jc w:val="center"/>
        </w:trPr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SC </w:t>
            </w:r>
          </w:p>
        </w:tc>
        <w:tc>
          <w:tcPr>
            <w:tcW w:w="11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420380 </w:t>
            </w:r>
          </w:p>
        </w:tc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CANOINHAS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11 2 0 6 6 8 0 0 0 0111 0 1 0 </w:t>
            </w:r>
          </w:p>
        </w:tc>
        <w:tc>
          <w:tcPr>
            <w:tcW w:w="7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 </w:t>
            </w:r>
          </w:p>
        </w:tc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266.666,66 </w:t>
            </w:r>
          </w:p>
        </w:tc>
        <w:tc>
          <w:tcPr>
            <w:tcW w:w="17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23840004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1 0 3 0 11 2 1 4 8 5 8 1 0 0 4 2 </w:t>
            </w:r>
          </w:p>
        </w:tc>
      </w:tr>
      <w:tr w:rsidR="00457EC8" w:rsidRPr="00457EC8" w:rsidTr="00457EC8">
        <w:trPr>
          <w:trHeight w:val="345"/>
          <w:jc w:val="center"/>
        </w:trPr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SP </w:t>
            </w:r>
          </w:p>
        </w:tc>
        <w:tc>
          <w:tcPr>
            <w:tcW w:w="11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354890 </w:t>
            </w:r>
          </w:p>
        </w:tc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SAO CARLOS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6 4 9 2 4 6 6 5 0 0 0111 0 0 5 </w:t>
            </w:r>
          </w:p>
        </w:tc>
        <w:tc>
          <w:tcPr>
            <w:tcW w:w="7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</w:t>
            </w:r>
          </w:p>
        </w:tc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200.000,00 </w:t>
            </w:r>
          </w:p>
        </w:tc>
        <w:tc>
          <w:tcPr>
            <w:tcW w:w="17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20160002 </w:t>
            </w:r>
          </w:p>
        </w:tc>
        <w:tc>
          <w:tcPr>
            <w:tcW w:w="27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457EC8" w:rsidRPr="00457EC8" w:rsidRDefault="00457EC8" w:rsidP="00457E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457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1 0 3 0 11 2 1 4 8 5 8 1 0 0 3 5 </w:t>
            </w:r>
          </w:p>
        </w:tc>
      </w:tr>
    </w:tbl>
    <w:p w:rsidR="00551D05" w:rsidRDefault="00551D05"/>
    <w:sectPr w:rsidR="00551D05" w:rsidSect="00551D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57EC8"/>
    <w:rsid w:val="00457EC8"/>
    <w:rsid w:val="00551D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1D05"/>
  </w:style>
  <w:style w:type="paragraph" w:styleId="Ttulo1">
    <w:name w:val="heading 1"/>
    <w:basedOn w:val="Normal"/>
    <w:link w:val="Ttulo1Char"/>
    <w:uiPriority w:val="9"/>
    <w:qFormat/>
    <w:rsid w:val="00457EC8"/>
    <w:pPr>
      <w:spacing w:before="100" w:beforeAutospacing="1" w:after="100" w:afterAutospacing="1" w:line="240" w:lineRule="auto"/>
      <w:jc w:val="center"/>
      <w:outlineLvl w:val="0"/>
    </w:pPr>
    <w:rPr>
      <w:rFonts w:ascii="Arial" w:eastAsia="Times New Roman" w:hAnsi="Arial" w:cs="Arial"/>
      <w:b/>
      <w:bCs/>
      <w:caps/>
      <w:color w:val="000000"/>
      <w:kern w:val="36"/>
      <w:sz w:val="23"/>
      <w:szCs w:val="23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457EC8"/>
    <w:pPr>
      <w:spacing w:before="100" w:beforeAutospacing="1" w:after="100" w:afterAutospacing="1" w:line="240" w:lineRule="auto"/>
      <w:jc w:val="center"/>
      <w:outlineLvl w:val="1"/>
    </w:pPr>
    <w:rPr>
      <w:rFonts w:ascii="Arial" w:eastAsia="Times New Roman" w:hAnsi="Arial" w:cs="Arial"/>
      <w:b/>
      <w:bCs/>
      <w:color w:val="000000"/>
      <w:sz w:val="21"/>
      <w:szCs w:val="21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57EC8"/>
    <w:rPr>
      <w:rFonts w:ascii="Arial" w:eastAsia="Times New Roman" w:hAnsi="Arial" w:cs="Arial"/>
      <w:b/>
      <w:bCs/>
      <w:caps/>
      <w:color w:val="000000"/>
      <w:kern w:val="36"/>
      <w:sz w:val="23"/>
      <w:szCs w:val="23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457EC8"/>
    <w:rPr>
      <w:rFonts w:ascii="Arial" w:eastAsia="Times New Roman" w:hAnsi="Arial" w:cs="Arial"/>
      <w:b/>
      <w:bCs/>
      <w:color w:val="000000"/>
      <w:sz w:val="21"/>
      <w:szCs w:val="21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457EC8"/>
    <w:pPr>
      <w:spacing w:before="100" w:beforeAutospacing="1" w:after="100" w:afterAutospacing="1" w:line="240" w:lineRule="auto"/>
      <w:ind w:firstLine="567"/>
      <w:jc w:val="both"/>
    </w:pPr>
    <w:rPr>
      <w:rFonts w:ascii="Arial" w:eastAsia="Times New Roman" w:hAnsi="Arial" w:cs="Arial"/>
      <w:color w:val="000000"/>
      <w:sz w:val="20"/>
      <w:szCs w:val="20"/>
      <w:lang w:eastAsia="pt-BR"/>
    </w:rPr>
  </w:style>
  <w:style w:type="paragraph" w:customStyle="1" w:styleId="textocenter">
    <w:name w:val="texto_center"/>
    <w:basedOn w:val="Normal"/>
    <w:rsid w:val="00457EC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20"/>
      <w:szCs w:val="20"/>
      <w:lang w:eastAsia="pt-BR"/>
    </w:rPr>
  </w:style>
  <w:style w:type="paragraph" w:customStyle="1" w:styleId="ementa">
    <w:name w:val="ementa"/>
    <w:basedOn w:val="Normal"/>
    <w:rsid w:val="00457EC8"/>
    <w:pPr>
      <w:spacing w:before="100" w:beforeAutospacing="1" w:after="450" w:line="240" w:lineRule="auto"/>
      <w:ind w:left="5850"/>
      <w:jc w:val="both"/>
    </w:pPr>
    <w:rPr>
      <w:rFonts w:ascii="Arial" w:eastAsia="Times New Roman" w:hAnsi="Arial" w:cs="Arial"/>
      <w:b/>
      <w:bCs/>
      <w:i/>
      <w:iCs/>
      <w:color w:val="000000"/>
      <w:sz w:val="20"/>
      <w:szCs w:val="20"/>
      <w:lang w:eastAsia="pt-BR"/>
    </w:rPr>
  </w:style>
  <w:style w:type="character" w:customStyle="1" w:styleId="legendab1">
    <w:name w:val="legendab1"/>
    <w:basedOn w:val="Fontepargpadro"/>
    <w:rsid w:val="00457EC8"/>
    <w:rPr>
      <w:rFonts w:ascii="Verdana" w:hAnsi="Verdana" w:hint="default"/>
      <w:color w:val="003366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614011">
      <w:bodyDiv w:val="1"/>
      <w:marLeft w:val="150"/>
      <w:marRight w:val="150"/>
      <w:marTop w:val="1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10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020566">
              <w:marLeft w:val="0"/>
              <w:marRight w:val="0"/>
              <w:marTop w:val="7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437</Words>
  <Characters>2363</Characters>
  <Application>Microsoft Office Word</Application>
  <DocSecurity>0</DocSecurity>
  <Lines>19</Lines>
  <Paragraphs>5</Paragraphs>
  <ScaleCrop>false</ScaleCrop>
  <Company/>
  <LinksUpToDate>false</LinksUpToDate>
  <CharactersWithSpaces>2795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biellajl</dc:creator>
  <cp:keywords/>
  <dc:description/>
  <cp:lastModifiedBy>biellajl</cp:lastModifiedBy>
  <cp:revision>1</cp:revision>
  <dcterms:created xsi:type="dcterms:W3CDTF">2011-11-17T13:03:00Z</dcterms:created>
  <dcterms:modified xsi:type="dcterms:W3CDTF">2011-11-17T13:05:00Z</dcterms:modified>
</cp:coreProperties>
</file>