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793"/>
        <w:gridCol w:w="126"/>
        <w:gridCol w:w="330"/>
        <w:gridCol w:w="345"/>
      </w:tblGrid>
      <w:tr w:rsidR="00AB6446" w:rsidRPr="00AB6446" w:rsidTr="00AB6446">
        <w:trPr>
          <w:tblCellSpacing w:w="15" w:type="dxa"/>
        </w:trPr>
        <w:tc>
          <w:tcPr>
            <w:tcW w:w="5000" w:type="pct"/>
            <w:tcMar>
              <w:top w:w="15" w:type="dxa"/>
              <w:left w:w="15" w:type="dxa"/>
              <w:bottom w:w="120" w:type="dxa"/>
              <w:right w:w="15" w:type="dxa"/>
            </w:tcMar>
            <w:vAlign w:val="center"/>
            <w:hideMark/>
          </w:tcPr>
          <w:p w:rsidR="00AB6446" w:rsidRPr="00AB6446" w:rsidRDefault="00AB6446" w:rsidP="00AB6446">
            <w:pPr>
              <w:spacing w:before="225" w:after="0" w:line="264" w:lineRule="auto"/>
              <w:rPr>
                <w:rFonts w:ascii="Arial Narrow" w:eastAsia="Times New Roman" w:hAnsi="Arial Narrow" w:cs="Arial"/>
                <w:color w:val="1E6298"/>
                <w:sz w:val="27"/>
                <w:szCs w:val="27"/>
                <w:lang w:eastAsia="pt-BR"/>
              </w:rPr>
            </w:pPr>
            <w:r w:rsidRPr="00AB6446">
              <w:rPr>
                <w:rFonts w:ascii="Arial Narrow" w:eastAsia="Times New Roman" w:hAnsi="Arial Narrow" w:cs="Arial"/>
                <w:color w:val="1E6298"/>
                <w:sz w:val="27"/>
                <w:szCs w:val="27"/>
                <w:lang w:eastAsia="pt-BR"/>
              </w:rPr>
              <w:t xml:space="preserve">PORTARIA N 283, DE 28 DE FEVEREIRO DE 2013 </w:t>
            </w:r>
          </w:p>
        </w:tc>
        <w:tc>
          <w:tcPr>
            <w:tcW w:w="5000" w:type="pct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B6446" w:rsidRPr="00AB6446" w:rsidRDefault="00AB6446" w:rsidP="00AB6446">
            <w:pPr>
              <w:spacing w:after="0" w:line="324" w:lineRule="auto"/>
              <w:jc w:val="right"/>
              <w:rPr>
                <w:rFonts w:ascii="Arial" w:eastAsia="Times New Roman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5000" w:type="pct"/>
            <w:tcMar>
              <w:top w:w="15" w:type="dxa"/>
              <w:left w:w="15" w:type="dxa"/>
              <w:bottom w:w="120" w:type="dxa"/>
              <w:right w:w="15" w:type="dxa"/>
            </w:tcMar>
            <w:vAlign w:val="center"/>
            <w:hideMark/>
          </w:tcPr>
          <w:p w:rsidR="00AB6446" w:rsidRPr="00AB6446" w:rsidRDefault="00AB6446" w:rsidP="00AB6446">
            <w:pPr>
              <w:spacing w:after="0" w:line="324" w:lineRule="auto"/>
              <w:jc w:val="right"/>
              <w:rPr>
                <w:rFonts w:ascii="Arial" w:eastAsia="Times New Roman" w:hAnsi="Arial" w:cs="Arial"/>
                <w:color w:val="333333"/>
                <w:sz w:val="18"/>
                <w:szCs w:val="18"/>
                <w:lang w:eastAsia="pt-BR"/>
              </w:rPr>
            </w:pPr>
            <w:r>
              <w:rPr>
                <w:rFonts w:ascii="Arial" w:eastAsia="Times New Roman" w:hAnsi="Arial" w:cs="Arial"/>
                <w:noProof/>
                <w:color w:val="1E6298"/>
                <w:sz w:val="18"/>
                <w:szCs w:val="18"/>
                <w:lang w:eastAsia="pt-BR"/>
              </w:rPr>
              <w:drawing>
                <wp:inline distT="0" distB="0" distL="0" distR="0">
                  <wp:extent cx="152400" cy="152400"/>
                  <wp:effectExtent l="19050" t="0" r="0" b="0"/>
                  <wp:docPr id="1" name="Imagem 1" descr="Imprimir">
                    <a:hlinkClick xmlns:a="http://schemas.openxmlformats.org/drawingml/2006/main" r:id="rId4" tooltip="&quot;Imprimir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mprimir">
                            <a:hlinkClick r:id="rId4" tooltip="&quot;Imprimir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tcMar>
              <w:top w:w="15" w:type="dxa"/>
              <w:left w:w="15" w:type="dxa"/>
              <w:bottom w:w="120" w:type="dxa"/>
              <w:right w:w="15" w:type="dxa"/>
            </w:tcMar>
            <w:vAlign w:val="center"/>
            <w:hideMark/>
          </w:tcPr>
          <w:p w:rsidR="00AB6446" w:rsidRPr="00AB6446" w:rsidRDefault="00AB6446" w:rsidP="00AB6446">
            <w:pPr>
              <w:spacing w:after="0" w:line="324" w:lineRule="auto"/>
              <w:jc w:val="right"/>
              <w:rPr>
                <w:rFonts w:ascii="Arial" w:eastAsia="Times New Roman" w:hAnsi="Arial" w:cs="Arial"/>
                <w:color w:val="333333"/>
                <w:sz w:val="18"/>
                <w:szCs w:val="18"/>
                <w:lang w:eastAsia="pt-BR"/>
              </w:rPr>
            </w:pPr>
            <w:r>
              <w:rPr>
                <w:rFonts w:ascii="Arial" w:eastAsia="Times New Roman" w:hAnsi="Arial" w:cs="Arial"/>
                <w:noProof/>
                <w:color w:val="1E6298"/>
                <w:sz w:val="18"/>
                <w:szCs w:val="18"/>
                <w:lang w:eastAsia="pt-BR"/>
              </w:rPr>
              <w:drawing>
                <wp:inline distT="0" distB="0" distL="0" distR="0">
                  <wp:extent cx="152400" cy="152400"/>
                  <wp:effectExtent l="19050" t="0" r="0" b="0"/>
                  <wp:docPr id="2" name="Imagem 2" descr="E-mail">
                    <a:hlinkClick xmlns:a="http://schemas.openxmlformats.org/drawingml/2006/main" r:id="rId6" tooltip="&quot;E-mail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E-mail">
                            <a:hlinkClick r:id="rId6" tooltip="&quot;E-mail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B6446" w:rsidRPr="00AB6446" w:rsidRDefault="00AB6446" w:rsidP="00AB6446">
      <w:pPr>
        <w:spacing w:line="324" w:lineRule="auto"/>
        <w:rPr>
          <w:rFonts w:ascii="Arial" w:eastAsia="Times New Roman" w:hAnsi="Arial" w:cs="Arial"/>
          <w:vanish/>
          <w:color w:val="333333"/>
          <w:sz w:val="18"/>
          <w:szCs w:val="18"/>
          <w:lang w:eastAsia="pt-BR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594"/>
      </w:tblGrid>
      <w:tr w:rsidR="00AB6446" w:rsidRPr="00AB6446" w:rsidTr="00AB6446">
        <w:trPr>
          <w:tblCellSpacing w:w="15" w:type="dxa"/>
        </w:trPr>
        <w:tc>
          <w:tcPr>
            <w:tcW w:w="0" w:type="auto"/>
            <w:vAlign w:val="center"/>
            <w:hideMark/>
          </w:tcPr>
          <w:p w:rsidR="00AB6446" w:rsidRPr="00AB6446" w:rsidRDefault="00AB6446" w:rsidP="00AB6446">
            <w:pPr>
              <w:spacing w:after="0" w:line="324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pt-BR"/>
              </w:rPr>
            </w:pPr>
            <w:r w:rsidRPr="00AB6446">
              <w:rPr>
                <w:rFonts w:ascii="Arial" w:eastAsia="Times New Roman" w:hAnsi="Arial" w:cs="Arial"/>
                <w:color w:val="333333"/>
                <w:sz w:val="18"/>
                <w:szCs w:val="18"/>
                <w:lang w:eastAsia="pt-BR"/>
              </w:rPr>
              <w:t xml:space="preserve">Legislações - GM </w:t>
            </w:r>
          </w:p>
        </w:tc>
      </w:tr>
      <w:tr w:rsidR="00AB6446" w:rsidRPr="00AB6446" w:rsidTr="00AB6446">
        <w:trPr>
          <w:tblCellSpacing w:w="15" w:type="dxa"/>
        </w:trPr>
        <w:tc>
          <w:tcPr>
            <w:tcW w:w="0" w:type="auto"/>
            <w:hideMark/>
          </w:tcPr>
          <w:p w:rsidR="00AB6446" w:rsidRPr="00AB6446" w:rsidRDefault="00AB6446" w:rsidP="00AB6446">
            <w:pPr>
              <w:spacing w:after="0" w:line="324" w:lineRule="auto"/>
              <w:rPr>
                <w:rFonts w:ascii="Arial" w:eastAsia="Times New Roman" w:hAnsi="Arial" w:cs="Arial"/>
                <w:color w:val="333333"/>
                <w:sz w:val="17"/>
                <w:szCs w:val="17"/>
                <w:lang w:eastAsia="pt-BR"/>
              </w:rPr>
            </w:pPr>
            <w:proofErr w:type="spellStart"/>
            <w:r w:rsidRPr="00AB6446">
              <w:rPr>
                <w:rFonts w:ascii="Arial" w:eastAsia="Times New Roman" w:hAnsi="Arial" w:cs="Arial"/>
                <w:color w:val="333333"/>
                <w:sz w:val="17"/>
                <w:szCs w:val="17"/>
                <w:lang w:eastAsia="pt-BR"/>
              </w:rPr>
              <w:t>Sex</w:t>
            </w:r>
            <w:proofErr w:type="spellEnd"/>
            <w:r w:rsidRPr="00AB6446">
              <w:rPr>
                <w:rFonts w:ascii="Arial" w:eastAsia="Times New Roman" w:hAnsi="Arial" w:cs="Arial"/>
                <w:color w:val="333333"/>
                <w:sz w:val="17"/>
                <w:szCs w:val="17"/>
                <w:lang w:eastAsia="pt-BR"/>
              </w:rPr>
              <w:t xml:space="preserve">, 01 de Março de 2013 </w:t>
            </w:r>
            <w:proofErr w:type="gramStart"/>
            <w:r w:rsidRPr="00AB6446">
              <w:rPr>
                <w:rFonts w:ascii="Arial" w:eastAsia="Times New Roman" w:hAnsi="Arial" w:cs="Arial"/>
                <w:color w:val="333333"/>
                <w:sz w:val="17"/>
                <w:szCs w:val="17"/>
                <w:lang w:eastAsia="pt-BR"/>
              </w:rPr>
              <w:t>00:00</w:t>
            </w:r>
            <w:proofErr w:type="gramEnd"/>
            <w:r w:rsidRPr="00AB6446">
              <w:rPr>
                <w:rFonts w:ascii="Arial" w:eastAsia="Times New Roman" w:hAnsi="Arial" w:cs="Arial"/>
                <w:color w:val="333333"/>
                <w:sz w:val="17"/>
                <w:szCs w:val="17"/>
                <w:lang w:eastAsia="pt-BR"/>
              </w:rPr>
              <w:t xml:space="preserve"> </w:t>
            </w:r>
          </w:p>
        </w:tc>
      </w:tr>
      <w:tr w:rsidR="00AB6446" w:rsidRPr="00AB6446" w:rsidTr="00AB6446">
        <w:trPr>
          <w:tblCellSpacing w:w="15" w:type="dxa"/>
        </w:trPr>
        <w:tc>
          <w:tcPr>
            <w:tcW w:w="0" w:type="auto"/>
            <w:hideMark/>
          </w:tcPr>
          <w:p w:rsidR="00AB6446" w:rsidRPr="00AB6446" w:rsidRDefault="00AB6446" w:rsidP="00AB6446">
            <w:pPr>
              <w:spacing w:after="0" w:line="324" w:lineRule="auto"/>
              <w:jc w:val="center"/>
              <w:rPr>
                <w:rFonts w:ascii="Verdana" w:eastAsia="Times New Roman" w:hAnsi="Verdana" w:cs="Arial"/>
                <w:color w:val="333333"/>
                <w:sz w:val="18"/>
                <w:szCs w:val="18"/>
                <w:lang w:eastAsia="pt-BR"/>
              </w:rPr>
            </w:pPr>
            <w:r w:rsidRPr="00AB6446">
              <w:rPr>
                <w:rFonts w:ascii="Verdana" w:eastAsia="Times New Roman" w:hAnsi="Verdana" w:cs="Arial"/>
                <w:color w:val="333333"/>
                <w:sz w:val="18"/>
                <w:szCs w:val="18"/>
                <w:lang w:eastAsia="pt-BR"/>
              </w:rPr>
              <w:t>PORTARIA N 283, DE 28 DE FEVEREIRO DE 2013</w:t>
            </w:r>
          </w:p>
          <w:p w:rsidR="00AB6446" w:rsidRPr="00AB6446" w:rsidRDefault="00AB6446" w:rsidP="00AB6446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AB644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Autoriza o repasse do incentivo financeiro do Programa Nacional de Melhoria do Acesso e da Qualidade da Atenção Básica (PMAQ-AB), denominado como Componente de Qualidade do Piso de Atenção Básica Variável.</w:t>
            </w:r>
          </w:p>
          <w:p w:rsidR="00AB6446" w:rsidRPr="00AB6446" w:rsidRDefault="00AB6446" w:rsidP="00AB6446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AB644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O MINISTRO DE ESTADO DA SAÚDE, no uso das atribuições que lhe conferem </w:t>
            </w:r>
            <w:proofErr w:type="gramStart"/>
            <w:r w:rsidRPr="00AB644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os incisos I e II do parágrafo único do art.</w:t>
            </w:r>
            <w:proofErr w:type="gramEnd"/>
            <w:r w:rsidRPr="00AB644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87 da Constituição, e</w:t>
            </w:r>
          </w:p>
          <w:p w:rsidR="00AB6446" w:rsidRPr="00AB6446" w:rsidRDefault="00AB6446" w:rsidP="00AB6446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AB644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Considerando o disposto na Política Nacional de Atenção Básica, publicada por meio da Portaria nº 2.488/GM/MS, de 21 de outubro de 2011, que regulamenta o desenvolvimento das ações de Atenção Básica à Saúde no SUS;</w:t>
            </w:r>
          </w:p>
          <w:p w:rsidR="00AB6446" w:rsidRPr="00AB6446" w:rsidRDefault="00AB6446" w:rsidP="00AB6446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AB644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Considerando o disposto na Portaria nº 1.654/GM/MS, de 19 de julho de 2011, que institui, no âmbito do Sistema Único de Saúde, o Programa Nacional de Melhoria do Acesso e da Qualidade da Atenção Básica e o Incentivo Financeiro do PMAQ-AB, denominado Componente de Qualidade do Piso de Atenção Básica Variável;</w:t>
            </w:r>
          </w:p>
          <w:p w:rsidR="00AB6446" w:rsidRPr="00AB6446" w:rsidRDefault="00AB6446" w:rsidP="00AB6446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AB644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Considerando o disposto na Portaria nº 2.812/GM/MS, de 29 de novembro de 2011, que homologa a adesão dos Municípios e das respectivas equipes de Atenção Básica ao Programa Nacional de Melhoria do Acesso e da Qualidade da Atenção Básica (PMAQ-AB); e</w:t>
            </w:r>
          </w:p>
          <w:p w:rsidR="00AB6446" w:rsidRPr="00AB6446" w:rsidRDefault="00AB6446" w:rsidP="00AB6446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AB644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Considerando o disposto na Portaria nº 1.089/GM/MS, de 28 de maio de 2012, que define o valor mensal integral do incentivo financeiro do Programa Nacional de Melhoria do Acesso e da Qualidade da Atenção Básica (PMAQ-AB), denominado como Componente de Qualidade do Piso de Atenção Básica Variável, resolve:</w:t>
            </w:r>
          </w:p>
          <w:p w:rsidR="00AB6446" w:rsidRPr="00AB6446" w:rsidRDefault="00AB6446" w:rsidP="00AB6446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AB644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Art. 1º Ficam definidos, na forma do anexo a esta Portaria, os Municípios e valores mensais máximos do incentivo financeiro referente às equipes já certificadas ao Programa Nacional de Melhoria do Acesso e da Qualidade da Atenção Básica (PMAQ-AB), denominado como Componente de Qualidade do Piso de Atenção Básica Variável, de acordo com a classificação alcançada no processo de certificação, respeitadas as categorias de desempenho descritas nos art. 13 e 14 da Portaria nº 1.654/GM/MS, de 19 de julho de 2011.</w:t>
            </w:r>
          </w:p>
          <w:p w:rsidR="00AB6446" w:rsidRPr="00AB6446" w:rsidRDefault="00AB6446" w:rsidP="00AB6446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AB644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§ 1º Será abatido deste montante o valor já transferido aos Municípios e ao Distrito </w:t>
            </w:r>
            <w:r w:rsidRPr="00AB644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lastRenderedPageBreak/>
              <w:t>Federal, no momento da adesão ao PMAQ-AB, referente ao percentual de 20% (vinte por cento) do valor integral do incentivo financeiro definido pela Portaria nº 1.089/GM/MS, de 28 de maio de 2012.</w:t>
            </w:r>
          </w:p>
          <w:p w:rsidR="00AB6446" w:rsidRPr="00AB6446" w:rsidRDefault="00AB6446" w:rsidP="00AB6446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AB644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§ 2º Este valor poderá sofrer redução caso a(s) equipe(s) certificada(s) sejam descredenciadas ou deixem de atender aos requisitos da Política Nacional de Atenção Básica, aprovada pela Portaria nº 2.488/GM/MS, de 21 de outubro de 2011.</w:t>
            </w:r>
          </w:p>
          <w:p w:rsidR="00AB6446" w:rsidRPr="00AB6446" w:rsidRDefault="00AB6446" w:rsidP="00AB6446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AB644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Art. 2º O resultado detalhado da certificação será publicado no endereço eletrônico do Portal do Departamento de Atenção Básica: </w:t>
            </w:r>
            <w:proofErr w:type="spellStart"/>
            <w:proofErr w:type="gramStart"/>
            <w:r w:rsidRPr="00AB644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dab</w:t>
            </w:r>
            <w:proofErr w:type="spellEnd"/>
            <w:r w:rsidRPr="00AB644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.</w:t>
            </w:r>
            <w:proofErr w:type="spellStart"/>
            <w:proofErr w:type="gramEnd"/>
            <w:r w:rsidRPr="00AB644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saude</w:t>
            </w:r>
            <w:proofErr w:type="spellEnd"/>
            <w:r w:rsidRPr="00AB644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.gov.br.</w:t>
            </w:r>
          </w:p>
          <w:p w:rsidR="00AB6446" w:rsidRPr="00AB6446" w:rsidRDefault="00AB6446" w:rsidP="00AB6446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AB644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Art. 3º Os recursos orçamentários, de que trata esta Portaria, correrão por conta do orçamento do Ministério da Saúde, devendo onerar o Programa de Trabalho 10.301.2015.20AD - Piso de Atenção Básica Variável - Saúde da </w:t>
            </w:r>
            <w:hyperlink r:id="rId8" w:history="1">
              <w:r w:rsidRPr="00AB6446">
                <w:rPr>
                  <w:rFonts w:ascii="Times New Roman" w:eastAsia="Times New Roman" w:hAnsi="Times New Roman" w:cs="Times New Roman"/>
                  <w:color w:val="1E6298"/>
                  <w:sz w:val="24"/>
                  <w:szCs w:val="24"/>
                  <w:lang w:eastAsia="pt-BR"/>
                </w:rPr>
                <w:t>Família</w:t>
              </w:r>
            </w:hyperlink>
            <w:r w:rsidRPr="00AB644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- Plano Orçamentário 0008 (PMAQ).</w:t>
            </w:r>
          </w:p>
          <w:p w:rsidR="00AB6446" w:rsidRPr="00AB6446" w:rsidRDefault="00AB6446" w:rsidP="00AB6446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AB644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Art. 4º Esta Portaria entra em vigor na data de sua publicação, com efeitos financeiros a partir da competência abril de 2012.</w:t>
            </w:r>
          </w:p>
          <w:p w:rsidR="00AB6446" w:rsidRPr="00AB6446" w:rsidRDefault="00AB6446" w:rsidP="00AB6446">
            <w:pPr>
              <w:spacing w:before="150" w:after="225" w:line="324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AB644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ALEXANDRE ROCHA SANTOS PADILHA</w:t>
            </w:r>
          </w:p>
          <w:p w:rsidR="00AB6446" w:rsidRPr="00AB6446" w:rsidRDefault="00AB6446" w:rsidP="00AB6446">
            <w:pPr>
              <w:spacing w:before="150" w:after="225" w:line="324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hyperlink r:id="rId9" w:history="1">
              <w:r w:rsidRPr="00AB6446">
                <w:rPr>
                  <w:rFonts w:ascii="Times New Roman" w:eastAsia="Times New Roman" w:hAnsi="Times New Roman" w:cs="Times New Roman"/>
                  <w:color w:val="1E6298"/>
                  <w:sz w:val="24"/>
                  <w:szCs w:val="24"/>
                  <w:lang w:eastAsia="pt-BR"/>
                </w:rPr>
                <w:t>ANEXO</w:t>
              </w:r>
            </w:hyperlink>
          </w:p>
        </w:tc>
      </w:tr>
    </w:tbl>
    <w:p w:rsidR="00E94EB3" w:rsidRDefault="00E94EB3"/>
    <w:sectPr w:rsidR="00E94EB3" w:rsidSect="00E94EB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B6446"/>
    <w:rsid w:val="00AB6446"/>
    <w:rsid w:val="00E94E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4EB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sid w:val="00AB6446"/>
    <w:rPr>
      <w:strike w:val="0"/>
      <w:dstrike w:val="0"/>
      <w:color w:val="1E6298"/>
      <w:u w:val="none"/>
      <w:effect w:val="non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B64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B64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69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69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7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230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773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7276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8324804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75323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3198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55815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2178084">
                                              <w:marLeft w:val="0"/>
                                              <w:marRight w:val="0"/>
                                              <w:marTop w:val="300"/>
                                              <w:marBottom w:val="30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336770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00066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usbrasil.com.br/diarios/51421046/dou-secao-1-01-03-2013-pg-51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brasilsus.com.br/component/mailto/?tmpl=component&amp;link=aHR0cDovL3d3dy5icmFzaWxzdXMuY29tLmJyL2xlZ2lzbGFjb2VzL2dtLzExODA3Mi0yODMuaHRtbA%3D%3D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hyperlink" Target="http://www.brasilsus.com.br/legislacoes/gm/118072-283.html?tmpl=component&amp;print=1&amp;page=" TargetMode="External"/><Relationship Id="rId9" Type="http://schemas.openxmlformats.org/officeDocument/2006/relationships/hyperlink" Target="http://www.brasilsus.com.br/images/stories/anexoportaria/anexo283gm13.pdf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523</Words>
  <Characters>2829</Characters>
  <Application>Microsoft Office Word</Application>
  <DocSecurity>0</DocSecurity>
  <Lines>23</Lines>
  <Paragraphs>6</Paragraphs>
  <ScaleCrop>false</ScaleCrop>
  <Company/>
  <LinksUpToDate>false</LinksUpToDate>
  <CharactersWithSpaces>3346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passosdm</dc:creator>
  <cp:lastModifiedBy>passosdm</cp:lastModifiedBy>
  <cp:revision>1</cp:revision>
  <dcterms:created xsi:type="dcterms:W3CDTF">2013-03-01T16:31:00Z</dcterms:created>
  <dcterms:modified xsi:type="dcterms:W3CDTF">2013-03-01T16:31:00Z</dcterms:modified>
</cp:coreProperties>
</file>