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26A" w:rsidRPr="00B8326A" w:rsidRDefault="00B8326A" w:rsidP="00B8326A">
      <w:pPr>
        <w:spacing w:line="324" w:lineRule="auto"/>
        <w:rPr>
          <w:rFonts w:ascii="Arial" w:eastAsia="Times New Roman" w:hAnsi="Arial" w:cs="Arial"/>
          <w:color w:val="333333"/>
          <w:sz w:val="18"/>
          <w:szCs w:val="18"/>
          <w:lang w:eastAsia="pt-BR"/>
        </w:rPr>
      </w:pPr>
      <w:r w:rsidRPr="00B8326A">
        <w:rPr>
          <w:rFonts w:ascii="Arial" w:eastAsia="Times New Roman" w:hAnsi="Arial" w:cs="Arial"/>
          <w:color w:val="333333"/>
          <w:sz w:val="18"/>
          <w:lang w:eastAsia="pt-BR"/>
        </w:rPr>
        <w:t>PORTARIA N 297, DE 28 DE FEVEREIRO DE 2013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93"/>
        <w:gridCol w:w="126"/>
        <w:gridCol w:w="330"/>
        <w:gridCol w:w="345"/>
      </w:tblGrid>
      <w:tr w:rsidR="00B8326A" w:rsidRPr="00B8326A" w:rsidTr="00B8326A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B8326A" w:rsidRPr="00B8326A" w:rsidRDefault="00B8326A" w:rsidP="00B8326A">
            <w:pPr>
              <w:spacing w:before="225" w:after="0" w:line="264" w:lineRule="auto"/>
              <w:rPr>
                <w:rFonts w:ascii="Arial Narrow" w:eastAsia="Times New Roman" w:hAnsi="Arial Narrow" w:cs="Arial"/>
                <w:color w:val="1E6298"/>
                <w:sz w:val="27"/>
                <w:szCs w:val="27"/>
                <w:lang w:eastAsia="pt-BR"/>
              </w:rPr>
            </w:pPr>
            <w:r w:rsidRPr="00B8326A">
              <w:rPr>
                <w:rFonts w:ascii="Arial Narrow" w:eastAsia="Times New Roman" w:hAnsi="Arial Narrow" w:cs="Arial"/>
                <w:color w:val="1E6298"/>
                <w:sz w:val="27"/>
                <w:szCs w:val="27"/>
                <w:lang w:eastAsia="pt-BR"/>
              </w:rPr>
              <w:t xml:space="preserve">PORTARIA N 297, DE 28 DE FEVEREIRO DE 2013 </w:t>
            </w:r>
          </w:p>
        </w:tc>
        <w:tc>
          <w:tcPr>
            <w:tcW w:w="5000" w:type="pct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B8326A" w:rsidRPr="00B8326A" w:rsidRDefault="00B8326A" w:rsidP="00B8326A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B8326A" w:rsidRPr="00B8326A" w:rsidRDefault="00B8326A" w:rsidP="00B8326A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8"/>
                <w:szCs w:val="18"/>
                <w:lang w:eastAsia="pt-BR"/>
              </w:rPr>
              <w:drawing>
                <wp:inline distT="0" distB="0" distL="0" distR="0">
                  <wp:extent cx="152400" cy="152400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120" w:type="dxa"/>
              <w:right w:w="15" w:type="dxa"/>
            </w:tcMar>
            <w:vAlign w:val="center"/>
            <w:hideMark/>
          </w:tcPr>
          <w:p w:rsidR="00B8326A" w:rsidRPr="00B8326A" w:rsidRDefault="00B8326A" w:rsidP="00B8326A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8"/>
                <w:szCs w:val="18"/>
                <w:lang w:eastAsia="pt-BR"/>
              </w:rPr>
              <w:drawing>
                <wp:inline distT="0" distB="0" distL="0" distR="0">
                  <wp:extent cx="152400" cy="152400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8326A" w:rsidRPr="00B8326A" w:rsidRDefault="00B8326A" w:rsidP="00B8326A">
      <w:pPr>
        <w:spacing w:line="324" w:lineRule="auto"/>
        <w:rPr>
          <w:rFonts w:ascii="Arial" w:eastAsia="Times New Roman" w:hAnsi="Arial" w:cs="Arial"/>
          <w:vanish/>
          <w:color w:val="333333"/>
          <w:sz w:val="18"/>
          <w:szCs w:val="18"/>
          <w:lang w:eastAsia="pt-BR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B8326A" w:rsidRPr="00B8326A" w:rsidTr="00B8326A">
        <w:trPr>
          <w:tblCellSpacing w:w="15" w:type="dxa"/>
        </w:trPr>
        <w:tc>
          <w:tcPr>
            <w:tcW w:w="0" w:type="auto"/>
            <w:vAlign w:val="center"/>
            <w:hideMark/>
          </w:tcPr>
          <w:p w:rsidR="00B8326A" w:rsidRPr="00B8326A" w:rsidRDefault="00B8326A" w:rsidP="00B8326A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</w:pPr>
            <w:r w:rsidRPr="00B8326A">
              <w:rPr>
                <w:rFonts w:ascii="Arial" w:eastAsia="Times New Roman" w:hAnsi="Arial" w:cs="Arial"/>
                <w:color w:val="333333"/>
                <w:sz w:val="18"/>
                <w:szCs w:val="18"/>
                <w:lang w:eastAsia="pt-BR"/>
              </w:rPr>
              <w:t xml:space="preserve">Legislações - GM </w:t>
            </w:r>
          </w:p>
        </w:tc>
      </w:tr>
      <w:tr w:rsidR="00B8326A" w:rsidRPr="00B8326A" w:rsidTr="00B8326A">
        <w:trPr>
          <w:tblCellSpacing w:w="15" w:type="dxa"/>
        </w:trPr>
        <w:tc>
          <w:tcPr>
            <w:tcW w:w="0" w:type="auto"/>
            <w:hideMark/>
          </w:tcPr>
          <w:p w:rsidR="00B8326A" w:rsidRPr="00B8326A" w:rsidRDefault="00B8326A" w:rsidP="00B8326A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</w:pPr>
            <w:proofErr w:type="spellStart"/>
            <w:r w:rsidRPr="00B8326A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>Sex</w:t>
            </w:r>
            <w:proofErr w:type="spellEnd"/>
            <w:r w:rsidRPr="00B8326A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 xml:space="preserve">, 01 de Março de 2013 </w:t>
            </w:r>
            <w:proofErr w:type="gramStart"/>
            <w:r w:rsidRPr="00B8326A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>00:00</w:t>
            </w:r>
            <w:proofErr w:type="gramEnd"/>
            <w:r w:rsidRPr="00B8326A">
              <w:rPr>
                <w:rFonts w:ascii="Arial" w:eastAsia="Times New Roman" w:hAnsi="Arial" w:cs="Arial"/>
                <w:color w:val="333333"/>
                <w:sz w:val="17"/>
                <w:szCs w:val="17"/>
                <w:lang w:eastAsia="pt-BR"/>
              </w:rPr>
              <w:t xml:space="preserve"> </w:t>
            </w:r>
          </w:p>
        </w:tc>
      </w:tr>
      <w:tr w:rsidR="00B8326A" w:rsidRPr="00B8326A" w:rsidTr="00B8326A">
        <w:trPr>
          <w:tblCellSpacing w:w="15" w:type="dxa"/>
        </w:trPr>
        <w:tc>
          <w:tcPr>
            <w:tcW w:w="0" w:type="auto"/>
            <w:hideMark/>
          </w:tcPr>
          <w:p w:rsidR="00B8326A" w:rsidRPr="00B8326A" w:rsidRDefault="00B8326A" w:rsidP="00B8326A">
            <w:pPr>
              <w:spacing w:after="0" w:line="324" w:lineRule="auto"/>
              <w:jc w:val="center"/>
              <w:rPr>
                <w:rFonts w:ascii="Verdana" w:eastAsia="Times New Roman" w:hAnsi="Verdana" w:cs="Arial"/>
                <w:color w:val="333333"/>
                <w:sz w:val="18"/>
                <w:szCs w:val="18"/>
                <w:lang w:eastAsia="pt-BR"/>
              </w:rPr>
            </w:pPr>
            <w:r w:rsidRPr="00B8326A">
              <w:rPr>
                <w:rFonts w:ascii="Verdana" w:eastAsia="Times New Roman" w:hAnsi="Verdana" w:cs="Arial"/>
                <w:color w:val="333333"/>
                <w:sz w:val="18"/>
                <w:szCs w:val="18"/>
                <w:lang w:eastAsia="pt-BR"/>
              </w:rPr>
              <w:t>PORTARIA N 297, DE 28 DE FEVEREIRO DE 2013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Habilita Municípios e o Distrito Federal ao recebimento do repasse de </w:t>
            </w:r>
            <w:proofErr w:type="spell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recursos</w:t>
            </w:r>
            <w:hyperlink r:id="rId8" w:history="1">
              <w:r w:rsidRPr="00B8326A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financeiros</w:t>
              </w:r>
              <w:proofErr w:type="spellEnd"/>
            </w:hyperlink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relativos ao Programa Saúde na Escola (PSE).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O MINISTRO DE </w:t>
            </w:r>
            <w:hyperlink r:id="rId9" w:history="1">
              <w:r w:rsidRPr="00B8326A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ESTADO</w:t>
              </w:r>
            </w:hyperlink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DA SAÚDE, no uso das atribuições que lhe conferem </w:t>
            </w:r>
            <w:proofErr w:type="gram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os incisos I e II do parágrafo único do art.</w:t>
            </w:r>
            <w:proofErr w:type="gram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87 da Constituição, e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Considerando o Decreto Presidencial nº 6.286, de </w:t>
            </w:r>
            <w:proofErr w:type="gram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5</w:t>
            </w:r>
            <w:proofErr w:type="gram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de dezembro de 2007, que institui o Programa Saúde na Escola (PSE), com a finalidade de contribuir para a formação integral dos estudantes da rede pública de educação básica por meio de ações de prevenção, promoção e </w:t>
            </w:r>
            <w:hyperlink r:id="rId10" w:history="1">
              <w:r w:rsidRPr="00B8326A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atenção</w:t>
              </w:r>
            </w:hyperlink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à saúde;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Considerando a Portaria nº 1.910/GM/MS, de </w:t>
            </w:r>
            <w:proofErr w:type="gram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8</w:t>
            </w:r>
            <w:proofErr w:type="gram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de agosto de 2011, que estabelece o Termo de Compromisso Municipal como instrumento para transferência dos recursos financeiros do Programa Saúde na Escola (PSE);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357, de 1º de março de 2012 que institui a Semana Anual de Mobilização Saúde na Escola (Semana Saúde na Escola) e o respectivo incentivo financeiro;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2.693, de 29 de novembro de 2012 que propõe a expansão de ações em 122 (cento e vinte e dois) Municípios do Programa Saúde na Escola (PSE);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Considerando a Política Nacional de Atenção Básica, aprovada pela Portaria nº 2.488/GM/MS, de 21 de outubro de 2011, que preconiza a coordenação do cuidado a partir da atenção básica organizada pela estratégia Saúde da </w:t>
            </w:r>
            <w:hyperlink r:id="rId11" w:history="1">
              <w:r w:rsidRPr="00B8326A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Família</w:t>
              </w:r>
            </w:hyperlink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; e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204/GM/MS, de 29 de janeiro de 2007, que regulamenta o financiamento e a transferência dos recursos federais para as ações e os serviços de saúde, na forma de blocos de financiamento, com o respectivo monitoramento e controle, resolve: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1º Ficam habilitados os Municípios e o Distrito Federal relacionados nos anexos a esta Portaria ao recebimento dos recursos financeiros referentes ao conjunto de ações do </w:t>
            </w: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>Programa Saúde na Escola (PSE).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1º Os Municípios e o Distrito Federal listados no Anexo I a esta Portaria farão jus ao recebimento de 30% (trinta por cento) do valor correspondente a uma parcela extra do incentivo mensal das equipes de Saúde da Família que atuam no PSE, em conformidade com o número de equipes informadas no Sistema de Monitoramento do PSE (SIMEC) e com o alcance de 70% (setenta por cento) das metas pactuadas no Termo de Compromisso instituído pela Portaria nº 1.910, de </w:t>
            </w:r>
            <w:proofErr w:type="gram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8</w:t>
            </w:r>
            <w:proofErr w:type="gram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de agosto de 2011.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2º Os Municípios e o Distrito Federal listados no Anexo II a esta Portaria farão jus ao recebimento do incentivo financeiro correspondente à realização de ações da Semana Anual de Mobilização Saúde na Escola (Semana Saúde na Escola), instituída pela Portaria nº 357/GM/MS, de 1º de março de 2012 e em conformidade com o número de equipes informadas no Sistema de Monitoramento do PSE (SIMEC), o qual corresponde a 1/12 (um doze avos) da parcela mensal repassada às Equipes de Saúde da Família (ESF) que atuaram na execução das mencionadas ações, equivalente a R$ 558,30 (quinhentos e </w:t>
            </w:r>
            <w:proofErr w:type="spell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cinquenta</w:t>
            </w:r>
            <w:proofErr w:type="spell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e oito reais e trinta centavos) por ESF participante.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3º Os Municípios e o Distrito Federal relacionados no Anexo III a esta Portaria farão jus ao recebimento de incentivo financeiro diretamente proporcional ao percentual de ações registradas no Sistema de Monitoramento do PSE (SIMEC), a partir da informação de 50% dos </w:t>
            </w:r>
            <w:proofErr w:type="spellStart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educandos</w:t>
            </w:r>
            <w:proofErr w:type="spellEnd"/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e respeitado o teto máximo de repasse estabelecido para realização de ações de expansão das atividades do PSE relacionadas à Ação Brasil Carinhoso, conforme Portaria nº 2.693, de 29 de novembro de 2012.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2º Os recursos orçamentários, de que trata esta Portaria, farão parte do Bloco de Atenção Básica, e correrão por conta do orçamento do Ministério da Saúde, onerando os Programas de Trabalho 10.301.1214.20AD e 10.301.1215.20AD - Piso da Atenção Básica Variável - Saúde da Família.</w:t>
            </w:r>
          </w:p>
          <w:p w:rsidR="00B8326A" w:rsidRPr="00B8326A" w:rsidRDefault="00B8326A" w:rsidP="00B8326A">
            <w:pPr>
              <w:spacing w:before="150" w:after="225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3º Esta Portaria entra em vigor na data de sua publicação.</w:t>
            </w:r>
          </w:p>
          <w:p w:rsidR="00B8326A" w:rsidRPr="00B8326A" w:rsidRDefault="00B8326A" w:rsidP="00B8326A">
            <w:pPr>
              <w:spacing w:before="150" w:after="225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B8326A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ALEXANDRE ROCHA SANTOS PADILHA</w:t>
            </w:r>
          </w:p>
          <w:p w:rsidR="00B8326A" w:rsidRPr="00B8326A" w:rsidRDefault="00B8326A" w:rsidP="00B8326A">
            <w:pPr>
              <w:spacing w:before="150" w:after="225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hyperlink r:id="rId12" w:history="1">
              <w:r w:rsidRPr="00B8326A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ANEXO I</w:t>
              </w:r>
            </w:hyperlink>
          </w:p>
        </w:tc>
      </w:tr>
    </w:tbl>
    <w:p w:rsidR="00980080" w:rsidRDefault="00980080"/>
    <w:sectPr w:rsidR="00980080" w:rsidSect="0098008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326A"/>
    <w:rsid w:val="00980080"/>
    <w:rsid w:val="00B83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08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B8326A"/>
    <w:rPr>
      <w:strike w:val="0"/>
      <w:dstrike w:val="0"/>
      <w:color w:val="1E6298"/>
      <w:u w:val="none"/>
      <w:effect w:val="none"/>
    </w:rPr>
  </w:style>
  <w:style w:type="character" w:customStyle="1" w:styleId="breadcrumbs">
    <w:name w:val="breadcrumbs"/>
    <w:basedOn w:val="Fontepargpadro"/>
    <w:rsid w:val="00B8326A"/>
  </w:style>
  <w:style w:type="paragraph" w:styleId="Textodebalo">
    <w:name w:val="Balloon Text"/>
    <w:basedOn w:val="Normal"/>
    <w:link w:val="TextodebaloChar"/>
    <w:uiPriority w:val="99"/>
    <w:semiHidden/>
    <w:unhideWhenUsed/>
    <w:rsid w:val="00B83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2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3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8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753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432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62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029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06967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5557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1500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4627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4730205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6623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40571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brasil.com.br/diarios/51421069/dou-secao-1-01-03-2013-pg-74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yperlink" Target="http://www.brasilsus.com.br/images/stories/anexoportaria/anexo297gm1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2dtLzExODA4OC0yOTcuaHRtbA%3D%3D" TargetMode="External"/><Relationship Id="rId11" Type="http://schemas.openxmlformats.org/officeDocument/2006/relationships/hyperlink" Target="http://www.jusbrasil.com.br/diarios/51421069/dou-secao-1-01-03-2013-pg-74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jusbrasil.com.br/diarios/51421069/dou-secao-1-01-03-2013-pg-74" TargetMode="External"/><Relationship Id="rId4" Type="http://schemas.openxmlformats.org/officeDocument/2006/relationships/hyperlink" Target="http://www.brasilsus.com.br/legislacoes/gm/118088-297.html?tmpl=component&amp;print=1&amp;page=" TargetMode="External"/><Relationship Id="rId9" Type="http://schemas.openxmlformats.org/officeDocument/2006/relationships/hyperlink" Target="http://www.jusbrasil.com.br/diarios/51421069/dou-secao-1-01-03-2013-pg-7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695</Words>
  <Characters>3758</Characters>
  <Application>Microsoft Office Word</Application>
  <DocSecurity>0</DocSecurity>
  <Lines>31</Lines>
  <Paragraphs>8</Paragraphs>
  <ScaleCrop>false</ScaleCrop>
  <Company/>
  <LinksUpToDate>false</LinksUpToDate>
  <CharactersWithSpaces>4445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passosdm</dc:creator>
  <cp:lastModifiedBy>passosdm</cp:lastModifiedBy>
  <cp:revision>1</cp:revision>
  <dcterms:created xsi:type="dcterms:W3CDTF">2013-03-01T16:55:00Z</dcterms:created>
  <dcterms:modified xsi:type="dcterms:W3CDTF">2013-03-01T16:55:00Z</dcterms:modified>
</cp:coreProperties>
</file>