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7807"/>
        <w:gridCol w:w="108"/>
        <w:gridCol w:w="332"/>
        <w:gridCol w:w="347"/>
      </w:tblGrid>
      <w:tr w:rsidR="00786AA3" w:rsidRPr="00786AA3" w:rsidTr="00786AA3">
        <w:trPr>
          <w:tblCellSpacing w:w="15" w:type="dxa"/>
        </w:trPr>
        <w:tc>
          <w:tcPr>
            <w:tcW w:w="5000" w:type="pct"/>
            <w:tcMar>
              <w:top w:w="15" w:type="dxa"/>
              <w:left w:w="15" w:type="dxa"/>
              <w:bottom w:w="97" w:type="dxa"/>
              <w:right w:w="15" w:type="dxa"/>
            </w:tcMar>
            <w:vAlign w:val="center"/>
            <w:hideMark/>
          </w:tcPr>
          <w:p w:rsidR="00786AA3" w:rsidRPr="00786AA3" w:rsidRDefault="00786AA3" w:rsidP="00786AA3">
            <w:pPr>
              <w:spacing w:before="182" w:after="0" w:line="264" w:lineRule="auto"/>
              <w:rPr>
                <w:rFonts w:ascii="Arial Narrow" w:eastAsia="Times New Roman" w:hAnsi="Arial Narrow" w:cs="Arial"/>
                <w:color w:val="1E6298"/>
                <w:sz w:val="23"/>
                <w:szCs w:val="23"/>
                <w:lang w:eastAsia="pt-BR"/>
              </w:rPr>
            </w:pPr>
            <w:r w:rsidRPr="00786AA3">
              <w:rPr>
                <w:rFonts w:ascii="Arial Narrow" w:eastAsia="Times New Roman" w:hAnsi="Arial Narrow" w:cs="Arial"/>
                <w:color w:val="1E6298"/>
                <w:sz w:val="23"/>
                <w:szCs w:val="23"/>
                <w:lang w:eastAsia="pt-BR"/>
              </w:rPr>
              <w:t xml:space="preserve">PORTARIA Nº 261, DE 21 DE FEVEREIRO DE 2013 </w:t>
            </w:r>
          </w:p>
        </w:tc>
        <w:tc>
          <w:tcPr>
            <w:tcW w:w="5000" w:type="pct"/>
            <w:tcMar>
              <w:top w:w="0" w:type="dxa"/>
              <w:left w:w="36" w:type="dxa"/>
              <w:bottom w:w="0" w:type="dxa"/>
              <w:right w:w="36" w:type="dxa"/>
            </w:tcMar>
            <w:vAlign w:val="center"/>
            <w:hideMark/>
          </w:tcPr>
          <w:p w:rsidR="00786AA3" w:rsidRPr="00786AA3" w:rsidRDefault="00786AA3" w:rsidP="00786AA3">
            <w:pPr>
              <w:spacing w:after="0" w:line="324" w:lineRule="auto"/>
              <w:jc w:val="right"/>
              <w:rPr>
                <w:rFonts w:ascii="Arial" w:eastAsia="Times New Roman" w:hAnsi="Arial" w:cs="Arial"/>
                <w:color w:val="333333"/>
                <w:sz w:val="15"/>
                <w:szCs w:val="15"/>
                <w:lang w:eastAsia="pt-BR"/>
              </w:rPr>
            </w:pPr>
          </w:p>
        </w:tc>
        <w:tc>
          <w:tcPr>
            <w:tcW w:w="5000" w:type="pct"/>
            <w:tcMar>
              <w:top w:w="15" w:type="dxa"/>
              <w:left w:w="15" w:type="dxa"/>
              <w:bottom w:w="97" w:type="dxa"/>
              <w:right w:w="15" w:type="dxa"/>
            </w:tcMar>
            <w:vAlign w:val="center"/>
            <w:hideMark/>
          </w:tcPr>
          <w:p w:rsidR="00786AA3" w:rsidRPr="00786AA3" w:rsidRDefault="00786AA3" w:rsidP="00786AA3">
            <w:pPr>
              <w:spacing w:after="0" w:line="324" w:lineRule="auto"/>
              <w:jc w:val="right"/>
              <w:rPr>
                <w:rFonts w:ascii="Arial" w:eastAsia="Times New Roman" w:hAnsi="Arial" w:cs="Arial"/>
                <w:color w:val="333333"/>
                <w:sz w:val="15"/>
                <w:szCs w:val="15"/>
                <w:lang w:eastAsia="pt-BR"/>
              </w:rPr>
            </w:pPr>
            <w:r>
              <w:rPr>
                <w:rFonts w:ascii="Arial" w:eastAsia="Times New Roman" w:hAnsi="Arial" w:cs="Arial"/>
                <w:noProof/>
                <w:color w:val="1E6298"/>
                <w:sz w:val="15"/>
                <w:szCs w:val="15"/>
                <w:lang w:eastAsia="pt-BR"/>
              </w:rPr>
              <w:drawing>
                <wp:inline distT="0" distB="0" distL="0" distR="0">
                  <wp:extent cx="153670" cy="153670"/>
                  <wp:effectExtent l="19050" t="0" r="0" b="0"/>
                  <wp:docPr id="1" name="Imagem 1" descr="Imprimir">
                    <a:hlinkClick xmlns:a="http://schemas.openxmlformats.org/drawingml/2006/main" r:id="rId4" tooltip="&quot;Imprimir&quot;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1" descr="Imprimir">
                            <a:hlinkClick r:id="rId4" tooltip="&quot;Imprimir&quot;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5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3670" cy="15367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5000" w:type="pct"/>
            <w:tcMar>
              <w:top w:w="15" w:type="dxa"/>
              <w:left w:w="15" w:type="dxa"/>
              <w:bottom w:w="97" w:type="dxa"/>
              <w:right w:w="15" w:type="dxa"/>
            </w:tcMar>
            <w:vAlign w:val="center"/>
            <w:hideMark/>
          </w:tcPr>
          <w:p w:rsidR="00786AA3" w:rsidRPr="00786AA3" w:rsidRDefault="00786AA3" w:rsidP="00786AA3">
            <w:pPr>
              <w:spacing w:after="0" w:line="324" w:lineRule="auto"/>
              <w:jc w:val="right"/>
              <w:rPr>
                <w:rFonts w:ascii="Arial" w:eastAsia="Times New Roman" w:hAnsi="Arial" w:cs="Arial"/>
                <w:color w:val="333333"/>
                <w:sz w:val="15"/>
                <w:szCs w:val="15"/>
                <w:lang w:eastAsia="pt-BR"/>
              </w:rPr>
            </w:pPr>
            <w:r>
              <w:rPr>
                <w:rFonts w:ascii="Arial" w:eastAsia="Times New Roman" w:hAnsi="Arial" w:cs="Arial"/>
                <w:noProof/>
                <w:color w:val="1E6298"/>
                <w:sz w:val="15"/>
                <w:szCs w:val="15"/>
                <w:lang w:eastAsia="pt-BR"/>
              </w:rPr>
              <w:drawing>
                <wp:inline distT="0" distB="0" distL="0" distR="0">
                  <wp:extent cx="153670" cy="153670"/>
                  <wp:effectExtent l="19050" t="0" r="0" b="0"/>
                  <wp:docPr id="2" name="Imagem 2" descr="E-mail">
                    <a:hlinkClick xmlns:a="http://schemas.openxmlformats.org/drawingml/2006/main" r:id="rId6" tooltip="&quot;E-mail&quot;"/>
                  </wp:docPr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Picture 2" descr="E-mail">
                            <a:hlinkClick r:id="rId6" tooltip="&quot;E-mail&quot;"/>
                          </pic:cNvPr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Id7" cstate="print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153670" cy="153670"/>
                          </a:xfrm>
                          <a:prstGeom prst="rect">
                            <a:avLst/>
                          </a:prstGeom>
                          <a:noFill/>
                          <a:ln w="9525">
                            <a:noFill/>
                            <a:miter lim="800000"/>
                            <a:headEnd/>
                            <a:tailEnd/>
                          </a:ln>
                        </pic:spPr>
                      </pic:pic>
                    </a:graphicData>
                  </a:graphic>
                </wp:inline>
              </w:drawing>
            </w:r>
          </w:p>
        </w:tc>
      </w:tr>
    </w:tbl>
    <w:p w:rsidR="00786AA3" w:rsidRPr="00786AA3" w:rsidRDefault="00786AA3" w:rsidP="00786AA3">
      <w:pPr>
        <w:spacing w:line="324" w:lineRule="auto"/>
        <w:rPr>
          <w:rFonts w:ascii="Arial" w:eastAsia="Times New Roman" w:hAnsi="Arial" w:cs="Arial"/>
          <w:vanish/>
          <w:color w:val="333333"/>
          <w:sz w:val="15"/>
          <w:szCs w:val="15"/>
          <w:lang w:eastAsia="pt-BR"/>
        </w:rPr>
      </w:pPr>
    </w:p>
    <w:tbl>
      <w:tblPr>
        <w:tblW w:w="5000" w:type="pct"/>
        <w:tblCellSpacing w:w="15" w:type="dxa"/>
        <w:tblCellMar>
          <w:top w:w="15" w:type="dxa"/>
          <w:left w:w="15" w:type="dxa"/>
          <w:bottom w:w="15" w:type="dxa"/>
          <w:right w:w="15" w:type="dxa"/>
        </w:tblCellMar>
        <w:tblLook w:val="04A0"/>
      </w:tblPr>
      <w:tblGrid>
        <w:gridCol w:w="8594"/>
      </w:tblGrid>
      <w:tr w:rsidR="00786AA3" w:rsidRPr="00786AA3" w:rsidTr="00786AA3">
        <w:trPr>
          <w:tblCellSpacing w:w="15" w:type="dxa"/>
        </w:trPr>
        <w:tc>
          <w:tcPr>
            <w:tcW w:w="0" w:type="auto"/>
            <w:vAlign w:val="center"/>
            <w:hideMark/>
          </w:tcPr>
          <w:p w:rsidR="00786AA3" w:rsidRPr="00786AA3" w:rsidRDefault="00786AA3" w:rsidP="00786AA3">
            <w:pPr>
              <w:spacing w:after="0" w:line="324" w:lineRule="auto"/>
              <w:rPr>
                <w:rFonts w:ascii="Arial" w:eastAsia="Times New Roman" w:hAnsi="Arial" w:cs="Arial"/>
                <w:color w:val="333333"/>
                <w:sz w:val="15"/>
                <w:szCs w:val="15"/>
                <w:lang w:eastAsia="pt-BR"/>
              </w:rPr>
            </w:pPr>
            <w:r w:rsidRPr="00786AA3">
              <w:rPr>
                <w:rFonts w:ascii="Arial" w:eastAsia="Times New Roman" w:hAnsi="Arial" w:cs="Arial"/>
                <w:color w:val="333333"/>
                <w:sz w:val="15"/>
                <w:szCs w:val="15"/>
                <w:lang w:eastAsia="pt-BR"/>
              </w:rPr>
              <w:t xml:space="preserve">Legislações - GM </w:t>
            </w:r>
          </w:p>
        </w:tc>
      </w:tr>
      <w:tr w:rsidR="00786AA3" w:rsidRPr="00786AA3" w:rsidTr="00786AA3">
        <w:trPr>
          <w:tblCellSpacing w:w="15" w:type="dxa"/>
        </w:trPr>
        <w:tc>
          <w:tcPr>
            <w:tcW w:w="0" w:type="auto"/>
            <w:hideMark/>
          </w:tcPr>
          <w:p w:rsidR="00786AA3" w:rsidRPr="00786AA3" w:rsidRDefault="00786AA3" w:rsidP="00786AA3">
            <w:pPr>
              <w:spacing w:after="0" w:line="324" w:lineRule="auto"/>
              <w:rPr>
                <w:rFonts w:ascii="Arial" w:eastAsia="Times New Roman" w:hAnsi="Arial" w:cs="Arial"/>
                <w:color w:val="333333"/>
                <w:sz w:val="14"/>
                <w:szCs w:val="14"/>
                <w:lang w:eastAsia="pt-BR"/>
              </w:rPr>
            </w:pPr>
            <w:proofErr w:type="spellStart"/>
            <w:r w:rsidRPr="00786AA3">
              <w:rPr>
                <w:rFonts w:ascii="Arial" w:eastAsia="Times New Roman" w:hAnsi="Arial" w:cs="Arial"/>
                <w:color w:val="333333"/>
                <w:sz w:val="14"/>
                <w:szCs w:val="14"/>
                <w:lang w:eastAsia="pt-BR"/>
              </w:rPr>
              <w:t>Sex</w:t>
            </w:r>
            <w:proofErr w:type="spellEnd"/>
            <w:r w:rsidRPr="00786AA3">
              <w:rPr>
                <w:rFonts w:ascii="Arial" w:eastAsia="Times New Roman" w:hAnsi="Arial" w:cs="Arial"/>
                <w:color w:val="333333"/>
                <w:sz w:val="14"/>
                <w:szCs w:val="14"/>
                <w:lang w:eastAsia="pt-BR"/>
              </w:rPr>
              <w:t xml:space="preserve">, 22 de Fevereiro de 2013 </w:t>
            </w:r>
            <w:proofErr w:type="gramStart"/>
            <w:r w:rsidRPr="00786AA3">
              <w:rPr>
                <w:rFonts w:ascii="Arial" w:eastAsia="Times New Roman" w:hAnsi="Arial" w:cs="Arial"/>
                <w:color w:val="333333"/>
                <w:sz w:val="14"/>
                <w:szCs w:val="14"/>
                <w:lang w:eastAsia="pt-BR"/>
              </w:rPr>
              <w:t>00:00</w:t>
            </w:r>
            <w:proofErr w:type="gramEnd"/>
            <w:r w:rsidRPr="00786AA3">
              <w:rPr>
                <w:rFonts w:ascii="Arial" w:eastAsia="Times New Roman" w:hAnsi="Arial" w:cs="Arial"/>
                <w:color w:val="333333"/>
                <w:sz w:val="14"/>
                <w:szCs w:val="14"/>
                <w:lang w:eastAsia="pt-BR"/>
              </w:rPr>
              <w:t xml:space="preserve"> </w:t>
            </w:r>
          </w:p>
        </w:tc>
      </w:tr>
      <w:tr w:rsidR="00786AA3" w:rsidRPr="00786AA3" w:rsidTr="00786AA3">
        <w:trPr>
          <w:tblCellSpacing w:w="15" w:type="dxa"/>
        </w:trPr>
        <w:tc>
          <w:tcPr>
            <w:tcW w:w="0" w:type="auto"/>
            <w:hideMark/>
          </w:tcPr>
          <w:p w:rsidR="00786AA3" w:rsidRPr="00786AA3" w:rsidRDefault="00786AA3" w:rsidP="00786AA3">
            <w:pPr>
              <w:spacing w:after="0" w:line="324" w:lineRule="auto"/>
              <w:jc w:val="center"/>
              <w:rPr>
                <w:rFonts w:ascii="Verdana" w:eastAsia="Times New Roman" w:hAnsi="Verdana" w:cs="Arial"/>
                <w:color w:val="333333"/>
                <w:sz w:val="15"/>
                <w:szCs w:val="15"/>
                <w:lang w:eastAsia="pt-BR"/>
              </w:rPr>
            </w:pPr>
            <w:r w:rsidRPr="00786AA3">
              <w:rPr>
                <w:rFonts w:ascii="Verdana" w:eastAsia="Times New Roman" w:hAnsi="Verdana" w:cs="Arial"/>
                <w:color w:val="333333"/>
                <w:sz w:val="15"/>
                <w:szCs w:val="15"/>
                <w:lang w:eastAsia="pt-BR"/>
              </w:rPr>
              <w:t>PORTARIA Nº 261, DE 21 DE FEVEREIRO DE 2013</w:t>
            </w:r>
          </w:p>
          <w:p w:rsidR="00786AA3" w:rsidRPr="00786AA3" w:rsidRDefault="00786AA3" w:rsidP="00786AA3">
            <w:pPr>
              <w:spacing w:before="121" w:after="0" w:line="324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Institui, no âmbito da Política Nacional de Saúde Bucal, o Programa de Melhoria do Acesso e </w:t>
            </w:r>
            <w:hyperlink r:id="rId8" w:history="1">
              <w:r w:rsidRPr="00786AA3">
                <w:rPr>
                  <w:rFonts w:ascii="Times New Roman" w:eastAsia="Times New Roman" w:hAnsi="Times New Roman" w:cs="Times New Roman"/>
                  <w:color w:val="1E6298"/>
                  <w:sz w:val="24"/>
                  <w:szCs w:val="24"/>
                  <w:lang w:eastAsia="pt-BR"/>
                </w:rPr>
                <w:t>Qualidade</w:t>
              </w:r>
            </w:hyperlink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 dos Centros de Especialidades Odontológicas (PMAQ-CEO) e o Incentivo Financeiro (PMAQ-CEO), denominado Componente de Qualidade da Atenção Especializada em Saúde Bucal.</w:t>
            </w:r>
          </w:p>
          <w:p w:rsidR="00786AA3" w:rsidRPr="00786AA3" w:rsidRDefault="00786AA3" w:rsidP="00786AA3">
            <w:pPr>
              <w:spacing w:before="121" w:after="0" w:line="324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O MINISTRO DE ESTADO DA SAÚDE, no uso da atribuição que lhe confere o inciso II do parágrafo único do art. 87 da Constituição, e</w:t>
            </w:r>
          </w:p>
          <w:p w:rsidR="00786AA3" w:rsidRPr="00786AA3" w:rsidRDefault="00786AA3" w:rsidP="00786AA3">
            <w:pPr>
              <w:spacing w:before="121" w:after="0" w:line="324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Considerando a Portaria nº 283/GM/MS, de 22 de fevereiro de 2005, que estabelece os critérios de antecipação do incentivo financeiro para CEO em fase de implantação;</w:t>
            </w:r>
          </w:p>
          <w:p w:rsidR="00786AA3" w:rsidRPr="00786AA3" w:rsidRDefault="00786AA3" w:rsidP="00786AA3">
            <w:pPr>
              <w:spacing w:before="121" w:after="0" w:line="324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Considerando as Portarias n° 599/GM/MS e nº 600/GM/MS, de 23 de março de 2006, que estabelecem critérios de credenciamento/habilitação dos serviços especializados CEO Tipo I, Tipo II e Tipo III;</w:t>
            </w:r>
          </w:p>
          <w:p w:rsidR="00786AA3" w:rsidRPr="00786AA3" w:rsidRDefault="00786AA3" w:rsidP="00786AA3">
            <w:pPr>
              <w:spacing w:before="121" w:after="182" w:line="324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Considerando a Portaria nº 1.464/GM/MS, de 24 de junho de 2011, que estabelece as metas de produção mensal dos CEO;</w:t>
            </w:r>
          </w:p>
          <w:p w:rsidR="00786AA3" w:rsidRPr="00786AA3" w:rsidRDefault="00786AA3" w:rsidP="00786AA3">
            <w:pPr>
              <w:spacing w:before="121" w:after="182" w:line="324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Considerando a Portaria nº 204/GM/MS, de 29 de janeiro de 2007, que regulamenta o financiamento e a transferência dos recursos federais para as ações e os serviços de saúde, na forma de blocos de financiamento, com o respectivo monitoramento e controle;</w:t>
            </w:r>
          </w:p>
          <w:p w:rsidR="00786AA3" w:rsidRPr="00786AA3" w:rsidRDefault="00786AA3" w:rsidP="00786AA3">
            <w:pPr>
              <w:spacing w:before="121" w:after="0" w:line="324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Considerando o que estabelece a Política Nacional de Saúde Bucal - Brasil Sorridente em relação à reorganização das práticas e a qualificação das ações e serviços oferecidos na Saúde Bucal, visando à integralidade das ações; e</w:t>
            </w:r>
          </w:p>
          <w:p w:rsidR="00786AA3" w:rsidRPr="00786AA3" w:rsidRDefault="00786AA3" w:rsidP="00786AA3">
            <w:pPr>
              <w:spacing w:before="121" w:after="0" w:line="324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Considerando a diretriz do Governo Federal de qualificar a gestão pública por resultados mensuráveis, garantindo acesso e qualidade da atenção, resolve:</w:t>
            </w:r>
          </w:p>
          <w:p w:rsidR="00786AA3" w:rsidRPr="00786AA3" w:rsidRDefault="00786AA3" w:rsidP="00786AA3">
            <w:pPr>
              <w:spacing w:after="0" w:line="324" w:lineRule="auto"/>
              <w:ind w:left="708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Art. 1º Fica instituído o Programa de Melhoria do Acesso e Qualidade dos Centros de Especialidades Odontológicas (PMAQCEO), como estratégia de qualificação dos serviços especializados de saúde bucal.</w:t>
            </w:r>
          </w:p>
          <w:p w:rsidR="00786AA3" w:rsidRPr="00786AA3" w:rsidRDefault="00786AA3" w:rsidP="00786AA3">
            <w:pPr>
              <w:spacing w:before="121" w:after="0" w:line="324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Art. 2º Constituem-se objetivos do (PMAQ-CEO):</w:t>
            </w:r>
          </w:p>
          <w:p w:rsidR="00786AA3" w:rsidRPr="00786AA3" w:rsidRDefault="00786AA3" w:rsidP="00786AA3">
            <w:pPr>
              <w:spacing w:before="121" w:after="0" w:line="324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I - induzir a ampliação do acesso e a melhoria da qualidade nos Centros de Especialidades Odontológicas (CEO);</w:t>
            </w:r>
          </w:p>
          <w:p w:rsidR="00786AA3" w:rsidRPr="00786AA3" w:rsidRDefault="00786AA3" w:rsidP="00786AA3">
            <w:pPr>
              <w:spacing w:before="121" w:after="0" w:line="324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II - construir parâmetros de qualidade dos CEO que sejam passíveis de comparação </w:t>
            </w:r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lastRenderedPageBreak/>
              <w:t>nacional, regional e local, considerando as diferentes realidades de saúde;</w:t>
            </w:r>
          </w:p>
          <w:p w:rsidR="00786AA3" w:rsidRPr="00786AA3" w:rsidRDefault="00786AA3" w:rsidP="00786AA3">
            <w:pPr>
              <w:spacing w:before="121" w:after="0" w:line="324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III - fortalecer o processo de referência e contrarreferência de saúde bucal;</w:t>
            </w:r>
          </w:p>
          <w:p w:rsidR="00786AA3" w:rsidRPr="00786AA3" w:rsidRDefault="00786AA3" w:rsidP="00786AA3">
            <w:pPr>
              <w:spacing w:before="121" w:after="0" w:line="324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IV - estimular processo contínuo e progressivo de melhoramento dos padrões de acesso e de qualidade que envolva a gestão, o processo de trabalho e os resultados alcançados pelos CEO;</w:t>
            </w:r>
          </w:p>
          <w:p w:rsidR="00786AA3" w:rsidRPr="00786AA3" w:rsidRDefault="00786AA3" w:rsidP="00786AA3">
            <w:pPr>
              <w:spacing w:before="121" w:after="0" w:line="324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V - transparência em todas as suas etapas, permitindo-se o contínuo acompanhamento de suas ações e resultados pela sociedade, por meio do portal do Departamento de Atenção Básica, da </w:t>
            </w:r>
            <w:hyperlink r:id="rId9" w:tgtFrame="_blank" w:tooltip="Secretaria de Atenção à Saúde" w:history="1">
              <w:r w:rsidRPr="00786AA3">
                <w:rPr>
                  <w:rFonts w:ascii="Times New Roman" w:eastAsia="Times New Roman" w:hAnsi="Times New Roman" w:cs="Times New Roman"/>
                  <w:color w:val="1E6298"/>
                  <w:sz w:val="24"/>
                  <w:szCs w:val="24"/>
                  <w:lang w:eastAsia="pt-BR"/>
                </w:rPr>
                <w:t>Secretaria de Atenção à Saúde</w:t>
              </w:r>
            </w:hyperlink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, do Ministério da Saúde;</w:t>
            </w:r>
          </w:p>
          <w:p w:rsidR="00786AA3" w:rsidRPr="00786AA3" w:rsidRDefault="00786AA3" w:rsidP="00786AA3">
            <w:pPr>
              <w:spacing w:before="121" w:after="0" w:line="324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VI - envolver, mobilizar e responsabilizar os gestores federal, estaduais, do </w:t>
            </w:r>
            <w:proofErr w:type="gramStart"/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Distrito Federal e Municipais</w:t>
            </w:r>
            <w:proofErr w:type="gramEnd"/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, as equipes dos CEO e os usuários num processo de mudança de cultura de gestão e qualificação da atenção especializada em saúde bucal;</w:t>
            </w:r>
          </w:p>
          <w:p w:rsidR="00786AA3" w:rsidRPr="00786AA3" w:rsidRDefault="00786AA3" w:rsidP="00786AA3">
            <w:pPr>
              <w:spacing w:before="121" w:after="0" w:line="324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VII - desenvolver cultura de negociação e </w:t>
            </w:r>
            <w:proofErr w:type="spellStart"/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contratualização</w:t>
            </w:r>
            <w:proofErr w:type="spellEnd"/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, que implique na gestão dos recursos em função dos compromissos e resultados pactuados e alcançados;</w:t>
            </w:r>
          </w:p>
          <w:p w:rsidR="00786AA3" w:rsidRPr="00786AA3" w:rsidRDefault="00786AA3" w:rsidP="00786AA3">
            <w:pPr>
              <w:spacing w:before="121" w:after="0" w:line="324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VIII - estimular a efetiva mudança do modelo de atenção em saúde bucal, o desenvolvimento dos trabalhadores e a orientação dos serviços em função das necessidades e da satisfação dos usuários; e</w:t>
            </w:r>
          </w:p>
          <w:p w:rsidR="00786AA3" w:rsidRPr="00786AA3" w:rsidRDefault="00786AA3" w:rsidP="00786AA3">
            <w:pPr>
              <w:spacing w:before="121" w:after="0" w:line="324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IX - caráter voluntário para a adesão tanto pelos profissionais do CEO quanto pelos gestores municipais, a partir do pressuposto de que o seu êxito depende da motivação e </w:t>
            </w:r>
            <w:proofErr w:type="spellStart"/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proatividade</w:t>
            </w:r>
            <w:proofErr w:type="spellEnd"/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 dos atores envolvidos.</w:t>
            </w:r>
          </w:p>
          <w:p w:rsidR="00786AA3" w:rsidRPr="00786AA3" w:rsidRDefault="00786AA3" w:rsidP="00786AA3">
            <w:pPr>
              <w:spacing w:before="121" w:after="182" w:line="324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Art. 3º O (PMAQ-CEO) será composto por </w:t>
            </w:r>
            <w:proofErr w:type="gramStart"/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4</w:t>
            </w:r>
            <w:proofErr w:type="gramEnd"/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 (quatro) fases distintas que se sucedem e compõem um ciclo.</w:t>
            </w:r>
          </w:p>
          <w:p w:rsidR="00786AA3" w:rsidRPr="00786AA3" w:rsidRDefault="00786AA3" w:rsidP="00786AA3">
            <w:pPr>
              <w:spacing w:before="121" w:after="182" w:line="324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Art. 4º A Fase </w:t>
            </w:r>
            <w:proofErr w:type="gramStart"/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1</w:t>
            </w:r>
            <w:proofErr w:type="gramEnd"/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 do (PMAQ-CEO) é denominada Adesão e </w:t>
            </w:r>
            <w:proofErr w:type="spellStart"/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Contratualização</w:t>
            </w:r>
            <w:proofErr w:type="spellEnd"/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.</w:t>
            </w:r>
          </w:p>
          <w:p w:rsidR="00786AA3" w:rsidRPr="00786AA3" w:rsidRDefault="00786AA3" w:rsidP="00786AA3">
            <w:pPr>
              <w:spacing w:before="121" w:after="0" w:line="324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§ 1º - Todos os CEO habilitados, independente do Tipo, I, II ou III, poderão aderir ao PMAQ-CEO.</w:t>
            </w:r>
          </w:p>
          <w:p w:rsidR="00786AA3" w:rsidRPr="00786AA3" w:rsidRDefault="00786AA3" w:rsidP="00786AA3">
            <w:pPr>
              <w:spacing w:before="121" w:after="182" w:line="324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§ 2º - Nesta Fase devem ser observadas as seguintes etapas:</w:t>
            </w:r>
          </w:p>
          <w:p w:rsidR="00786AA3" w:rsidRPr="00786AA3" w:rsidRDefault="00786AA3" w:rsidP="00786AA3">
            <w:pPr>
              <w:spacing w:before="121" w:after="0" w:line="324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I - formalização da adesão pelo Estado, Município e Distrito Federal, por intermédio do preenchimento de formulário eletrônico específico a ser indicado pelo Ministério da Saúde;</w:t>
            </w:r>
          </w:p>
          <w:p w:rsidR="00786AA3" w:rsidRPr="00786AA3" w:rsidRDefault="00786AA3" w:rsidP="00786AA3">
            <w:pPr>
              <w:spacing w:before="121" w:after="0" w:line="324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II - </w:t>
            </w:r>
            <w:proofErr w:type="spellStart"/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contratualização</w:t>
            </w:r>
            <w:proofErr w:type="spellEnd"/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 da equipe do CEO e do gestor Estadual, Municipal ou do Distrito Federal, de acordo com as diretrizes e compromissos mínimos exigidos pelo (PMAQ-CEO); e</w:t>
            </w:r>
          </w:p>
          <w:p w:rsidR="00786AA3" w:rsidRPr="00786AA3" w:rsidRDefault="00786AA3" w:rsidP="00786AA3">
            <w:pPr>
              <w:spacing w:before="121" w:after="0" w:line="324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III - informação sobre a adesão do Município deve ser encaminhada ao Conselho </w:t>
            </w:r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lastRenderedPageBreak/>
              <w:t xml:space="preserve">Municipal de Saúde, à Comissão Intergestores Regional e Comissão Intergestores </w:t>
            </w:r>
            <w:proofErr w:type="spellStart"/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Bipartite</w:t>
            </w:r>
            <w:proofErr w:type="spellEnd"/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. No caso do Estado, a Comissão Intergestores </w:t>
            </w:r>
            <w:proofErr w:type="spellStart"/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Bipartite</w:t>
            </w:r>
            <w:proofErr w:type="spellEnd"/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 e o Distrito Federal deve encaminhar informação sobre a adesão ao respectivo Conselho de Saúde.</w:t>
            </w:r>
          </w:p>
          <w:p w:rsidR="00786AA3" w:rsidRPr="00786AA3" w:rsidRDefault="00786AA3" w:rsidP="00786AA3">
            <w:pPr>
              <w:spacing w:before="121" w:after="182" w:line="324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Art. 5º A Fase </w:t>
            </w:r>
            <w:proofErr w:type="gramStart"/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2</w:t>
            </w:r>
            <w:proofErr w:type="gramEnd"/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 do PMAQ-CEO é denominada Desenvolvimento.</w:t>
            </w:r>
          </w:p>
          <w:p w:rsidR="00786AA3" w:rsidRPr="00786AA3" w:rsidRDefault="00786AA3" w:rsidP="00786AA3">
            <w:pPr>
              <w:spacing w:before="121" w:after="0" w:line="324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§ 1º Esta Fase é constituída das seguintes ações:</w:t>
            </w:r>
          </w:p>
          <w:p w:rsidR="00786AA3" w:rsidRPr="00786AA3" w:rsidRDefault="00786AA3" w:rsidP="00786AA3">
            <w:pPr>
              <w:spacing w:before="121" w:after="0" w:line="324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I - autoavaliação, a ser feita pela equipe do CEO a partir de instrumentos ofertados pelo PMAQ-CEO ou outros definidos e pactuados pelo Município, Estado ou Distrito Federal;</w:t>
            </w:r>
          </w:p>
          <w:p w:rsidR="00786AA3" w:rsidRPr="00786AA3" w:rsidRDefault="00786AA3" w:rsidP="00786AA3">
            <w:pPr>
              <w:spacing w:before="121" w:after="0" w:line="324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II - monitoramento, a ser realizado pela equipe do CEO, pelas Secretarias de Saúde Estadual, Municipal, do Distrito Federal e pelo Ministério da Saúde a partir dos indicadores </w:t>
            </w:r>
            <w:proofErr w:type="spellStart"/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contratualizados</w:t>
            </w:r>
            <w:proofErr w:type="spellEnd"/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 na Fase </w:t>
            </w:r>
            <w:proofErr w:type="gramStart"/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1</w:t>
            </w:r>
            <w:proofErr w:type="gramEnd"/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 do (PMAQ-CEO);</w:t>
            </w:r>
          </w:p>
          <w:p w:rsidR="00786AA3" w:rsidRPr="00786AA3" w:rsidRDefault="00786AA3" w:rsidP="00786AA3">
            <w:pPr>
              <w:spacing w:before="121" w:after="0" w:line="324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III - educação permanente, por meio de ações dos gestores municipais, do Distrito Federal, estaduais e federal, considerando-se as necessidades de educação permanente das equipes dos CEO, pactuadas nas Comissões Intergestores Regionais e nas Comissões Intergestores </w:t>
            </w:r>
            <w:proofErr w:type="spellStart"/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Bipartite</w:t>
            </w:r>
            <w:proofErr w:type="spellEnd"/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; e</w:t>
            </w:r>
          </w:p>
          <w:p w:rsidR="00786AA3" w:rsidRPr="00786AA3" w:rsidRDefault="00786AA3" w:rsidP="00786AA3">
            <w:pPr>
              <w:spacing w:before="121" w:after="0" w:line="324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IV - apoio institucional, a partir de estratégia de suporte aos CEO pelos gestores municipais e à gestão municipal pelas Secretarias de Estado da Saúde (SES), Conselhos de Secretarias Municipais de Saúde (COSEMS), Comissões Intergestores Regionais (CIR), Comissões Intergestores </w:t>
            </w:r>
            <w:proofErr w:type="spellStart"/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Bipartite</w:t>
            </w:r>
            <w:proofErr w:type="spellEnd"/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 (CIB) e Ministério da Saúde (MS).</w:t>
            </w:r>
          </w:p>
          <w:p w:rsidR="00786AA3" w:rsidRPr="00786AA3" w:rsidRDefault="00786AA3" w:rsidP="00786AA3">
            <w:pPr>
              <w:spacing w:before="121" w:after="182" w:line="324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Art. 6º A Fase </w:t>
            </w:r>
            <w:proofErr w:type="gramStart"/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3</w:t>
            </w:r>
            <w:proofErr w:type="gramEnd"/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 do (PMAQ-CEO) é denominada Avaliação Externa.</w:t>
            </w:r>
          </w:p>
          <w:p w:rsidR="00786AA3" w:rsidRPr="00786AA3" w:rsidRDefault="00786AA3" w:rsidP="00786AA3">
            <w:pPr>
              <w:spacing w:before="121" w:after="0" w:line="324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§ 1º Esta Fase é composta por certificação de </w:t>
            </w:r>
            <w:hyperlink r:id="rId10" w:history="1">
              <w:r w:rsidRPr="00786AA3">
                <w:rPr>
                  <w:rFonts w:ascii="Times New Roman" w:eastAsia="Times New Roman" w:hAnsi="Times New Roman" w:cs="Times New Roman"/>
                  <w:color w:val="1E6298"/>
                  <w:sz w:val="24"/>
                  <w:szCs w:val="24"/>
                  <w:lang w:eastAsia="pt-BR"/>
                </w:rPr>
                <w:t>desempenho</w:t>
              </w:r>
            </w:hyperlink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 dos CEO, que será coordenada de forma tripartite incluindo:</w:t>
            </w:r>
          </w:p>
          <w:p w:rsidR="00786AA3" w:rsidRPr="00786AA3" w:rsidRDefault="00786AA3" w:rsidP="00786AA3">
            <w:pPr>
              <w:spacing w:before="121" w:after="0" w:line="324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I - a verificação de evidências para um conjunto de padrões previamente determinados e pesquisa de satisfação do usuário realizada por instituições de ensino e/ou pesquisa; e</w:t>
            </w:r>
          </w:p>
          <w:p w:rsidR="00786AA3" w:rsidRPr="00786AA3" w:rsidRDefault="00786AA3" w:rsidP="00786AA3">
            <w:pPr>
              <w:spacing w:before="121" w:after="0" w:line="324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II - o monitoramento de indicadores de saúde realizado pelo Ministério da Saúde.</w:t>
            </w:r>
          </w:p>
          <w:p w:rsidR="00786AA3" w:rsidRPr="00786AA3" w:rsidRDefault="00786AA3" w:rsidP="00786AA3">
            <w:pPr>
              <w:spacing w:before="121" w:after="182" w:line="324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Art. 7º A Fase </w:t>
            </w:r>
            <w:proofErr w:type="gramStart"/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4</w:t>
            </w:r>
            <w:proofErr w:type="gramEnd"/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 do (PMAQ-CEO) é denominada </w:t>
            </w:r>
            <w:proofErr w:type="spellStart"/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Recontratualização</w:t>
            </w:r>
            <w:proofErr w:type="spellEnd"/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.</w:t>
            </w:r>
          </w:p>
          <w:p w:rsidR="00786AA3" w:rsidRPr="00786AA3" w:rsidRDefault="00786AA3" w:rsidP="00786AA3">
            <w:pPr>
              <w:spacing w:before="121" w:after="0" w:line="324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§ 1º Esta Fase caracteriza-se pela </w:t>
            </w:r>
            <w:proofErr w:type="spellStart"/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pactuação</w:t>
            </w:r>
            <w:proofErr w:type="spellEnd"/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 singular dos Estados, Municípios e do Distrito Federal com incremento de novos padrões e indicadores de </w:t>
            </w:r>
            <w:hyperlink r:id="rId11" w:history="1">
              <w:r w:rsidRPr="00786AA3">
                <w:rPr>
                  <w:rFonts w:ascii="Times New Roman" w:eastAsia="Times New Roman" w:hAnsi="Times New Roman" w:cs="Times New Roman"/>
                  <w:color w:val="1E6298"/>
                  <w:sz w:val="24"/>
                  <w:szCs w:val="24"/>
                  <w:lang w:eastAsia="pt-BR"/>
                </w:rPr>
                <w:t>qualidade</w:t>
              </w:r>
            </w:hyperlink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, estimulando a institucionalização de um processo cíclico e sistemático a partir dos resultados verificados nas Fases </w:t>
            </w:r>
            <w:proofErr w:type="gramStart"/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2</w:t>
            </w:r>
            <w:proofErr w:type="gramEnd"/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 e 3 do PMAQ-CEO.</w:t>
            </w:r>
          </w:p>
          <w:p w:rsidR="00786AA3" w:rsidRPr="00786AA3" w:rsidRDefault="00786AA3" w:rsidP="00786AA3">
            <w:pPr>
              <w:spacing w:before="121" w:after="182" w:line="324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Art. 8º Fica instituído o Incentivo Financeiro do PMAQCEO, denominado Componente de Qualidade da Atenção Especializada em Saúde Bucal.</w:t>
            </w:r>
          </w:p>
          <w:p w:rsidR="00786AA3" w:rsidRPr="00786AA3" w:rsidRDefault="00786AA3" w:rsidP="00786AA3">
            <w:pPr>
              <w:spacing w:before="121" w:after="0" w:line="324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lastRenderedPageBreak/>
              <w:t xml:space="preserve">§ 1º O incentivo de que trata o caput </w:t>
            </w:r>
            <w:proofErr w:type="gramStart"/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será</w:t>
            </w:r>
            <w:proofErr w:type="gramEnd"/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 transferido, fundo a fundo, aos Estados, Municípios e ao Distrito Federal que aderirem ao (PMAQ-CEO).</w:t>
            </w:r>
          </w:p>
          <w:p w:rsidR="00786AA3" w:rsidRPr="00786AA3" w:rsidRDefault="00786AA3" w:rsidP="00786AA3">
            <w:pPr>
              <w:spacing w:before="121" w:after="0" w:line="324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§ 2º O incremento do incentivo de que trata o caput será definido a partir dos resultados verificados nas Fases 2, 3 e 4 do (PMAQ-CEO).</w:t>
            </w:r>
          </w:p>
          <w:p w:rsidR="00786AA3" w:rsidRPr="00786AA3" w:rsidRDefault="00786AA3" w:rsidP="00786AA3">
            <w:pPr>
              <w:spacing w:before="121" w:after="0" w:line="324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Art. 9º O Estado, Município ou o Distrito Federal poderá incluir a adesão do CEO ao PMAQ-CEO apenas uma vez ao ano, respeitado o intervalo mínimo de </w:t>
            </w:r>
            <w:proofErr w:type="gramStart"/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6</w:t>
            </w:r>
            <w:proofErr w:type="gramEnd"/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 (seis) meses.</w:t>
            </w:r>
          </w:p>
          <w:p w:rsidR="00786AA3" w:rsidRPr="00786AA3" w:rsidRDefault="00786AA3" w:rsidP="00786AA3">
            <w:pPr>
              <w:spacing w:before="121" w:after="0" w:line="324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§ 1º A adesão poderá incluir um ou mais CEO do Estado, Município ou do Distrito Federal.</w:t>
            </w:r>
          </w:p>
          <w:p w:rsidR="00786AA3" w:rsidRPr="00786AA3" w:rsidRDefault="00786AA3" w:rsidP="00786AA3">
            <w:pPr>
              <w:spacing w:before="121" w:after="0" w:line="324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§ 2° A Avaliação Externa será realizada em um mesmo momento para a totalidade dos CEO do Município, do Estado ou do Distrito Federal que aderiram ao (PMAQ-CEO).</w:t>
            </w:r>
          </w:p>
          <w:p w:rsidR="00786AA3" w:rsidRPr="00786AA3" w:rsidRDefault="00786AA3" w:rsidP="00786AA3">
            <w:pPr>
              <w:spacing w:before="121" w:after="182" w:line="324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Art. 10. O valor mensal integral do incentivo (PMAQ-CEO) do Componente de Qualidade da Atenção Especializada em Saúde Bucal por CEO </w:t>
            </w:r>
            <w:proofErr w:type="spellStart"/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contratualizado</w:t>
            </w:r>
            <w:proofErr w:type="spellEnd"/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 será publicado em portaria específica e reajustado periodicamente pelo Ministério da Saúde, por meio do Departamento de Atenção Básica (DAB/SAS/MS), conforme disponibilidade orçamentária vigente.</w:t>
            </w:r>
          </w:p>
          <w:p w:rsidR="00786AA3" w:rsidRPr="00786AA3" w:rsidRDefault="00786AA3" w:rsidP="00786AA3">
            <w:pPr>
              <w:spacing w:before="121" w:after="182" w:line="324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Art. 11. Os Estados, Municípios e o Distrito Federal receberão inicialmente, no momento da adesão ao (PMAQ-CEO), 20% (vinte por cento) do valor integral do incentivo (PMAQ-CEO), por CEO </w:t>
            </w:r>
            <w:proofErr w:type="spellStart"/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contratualizado</w:t>
            </w:r>
            <w:proofErr w:type="spellEnd"/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.</w:t>
            </w:r>
          </w:p>
          <w:p w:rsidR="00786AA3" w:rsidRPr="00786AA3" w:rsidRDefault="00786AA3" w:rsidP="00786AA3">
            <w:pPr>
              <w:spacing w:before="121" w:after="182" w:line="324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Parágrafo </w:t>
            </w:r>
            <w:hyperlink r:id="rId12" w:history="1">
              <w:r w:rsidRPr="00786AA3">
                <w:rPr>
                  <w:rFonts w:ascii="Times New Roman" w:eastAsia="Times New Roman" w:hAnsi="Times New Roman" w:cs="Times New Roman"/>
                  <w:color w:val="1E6298"/>
                  <w:sz w:val="24"/>
                  <w:szCs w:val="24"/>
                  <w:lang w:eastAsia="pt-BR"/>
                </w:rPr>
                <w:t>único</w:t>
              </w:r>
            </w:hyperlink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. Os Estados, Municípios e o Distrito Federal receberão, posteriormente, novos percentuais variáveis do referido valor integral conforme o desempenho alcançado, por CEO </w:t>
            </w:r>
            <w:proofErr w:type="spellStart"/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contratualizado</w:t>
            </w:r>
            <w:proofErr w:type="spellEnd"/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, no processo de certificação realizado nos termos do disposto na Fase </w:t>
            </w:r>
            <w:proofErr w:type="gramStart"/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4</w:t>
            </w:r>
            <w:proofErr w:type="gramEnd"/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 do (PMAQ-CEO).</w:t>
            </w:r>
          </w:p>
          <w:p w:rsidR="00786AA3" w:rsidRPr="00786AA3" w:rsidRDefault="00786AA3" w:rsidP="00786AA3">
            <w:pPr>
              <w:spacing w:before="121" w:after="182" w:line="324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Art. 12. Os Estados, Municípios e o Distrito Federal terão que solicitar a Avaliação Externa no sistema de gestão do PMAQCEO, por meio do preenchimento de formulário eletrônico, até a data de início do processo de Avaliação Externa do (PMAQ-CEO), a ser divulgada pelo Ministério da Saúde.</w:t>
            </w:r>
          </w:p>
          <w:p w:rsidR="00786AA3" w:rsidRPr="00786AA3" w:rsidRDefault="00786AA3" w:rsidP="00786AA3">
            <w:pPr>
              <w:spacing w:before="121" w:after="0" w:line="324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§ 1º Nas situações em que não houver a solicitação para a realização da Avaliação Externa, o Estado, Município ou o Distrito Federal será automaticamente descredenciado do (PMAQ-CEO) e o CEO será desabilitado, deixando de receber os incentivos financeiros, e ficará impedido de aderir ao Programa por </w:t>
            </w:r>
            <w:proofErr w:type="gramStart"/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2</w:t>
            </w:r>
            <w:proofErr w:type="gramEnd"/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 (dois) anos, medida que tem como objetivo inibir adesões sem compromisso efetivo com o cumprimento integral do ciclo de qualidade do (PMAQ-CEO).</w:t>
            </w:r>
          </w:p>
          <w:p w:rsidR="00786AA3" w:rsidRPr="00786AA3" w:rsidRDefault="00786AA3" w:rsidP="00786AA3">
            <w:pPr>
              <w:spacing w:before="121" w:after="182" w:line="324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§ 2º As adesões deverão ocorrer até </w:t>
            </w:r>
            <w:proofErr w:type="gramStart"/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7</w:t>
            </w:r>
            <w:proofErr w:type="gramEnd"/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 (sete) meses antes da data das eleições </w:t>
            </w:r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lastRenderedPageBreak/>
              <w:t>municipais.</w:t>
            </w:r>
          </w:p>
          <w:p w:rsidR="00786AA3" w:rsidRPr="00786AA3" w:rsidRDefault="00786AA3" w:rsidP="00786AA3">
            <w:pPr>
              <w:spacing w:before="121" w:after="182" w:line="324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§ 3º Casos específicos relacionados a obrigações ou sanções contraídas por atos de gestão anterior serão avaliados por órgãos competentes.</w:t>
            </w:r>
          </w:p>
          <w:p w:rsidR="00786AA3" w:rsidRPr="00786AA3" w:rsidRDefault="00786AA3" w:rsidP="00786AA3">
            <w:pPr>
              <w:spacing w:before="121" w:after="182" w:line="324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Art. 13. Para a classificação de desempenho dos CEO </w:t>
            </w:r>
            <w:proofErr w:type="spellStart"/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contratualizados</w:t>
            </w:r>
            <w:proofErr w:type="spellEnd"/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, realizada por meio do processo de certificação, cada Estado, Município ou o Distrito Federal estará enquadrado em diferentes estratos, com base em critérios de equidade, e o desempenho dos CEO será comparado à média e ao desvio-padrão do conjunto de CEO pertencentes ao mesmo tipo e estrato.</w:t>
            </w:r>
          </w:p>
          <w:p w:rsidR="00786AA3" w:rsidRPr="00786AA3" w:rsidRDefault="00786AA3" w:rsidP="00786AA3">
            <w:pPr>
              <w:spacing w:before="121" w:after="182" w:line="324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Art. 14. Para fins da 1ª (primeira) classificação dos CEO </w:t>
            </w:r>
            <w:proofErr w:type="spellStart"/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contratualizados</w:t>
            </w:r>
            <w:proofErr w:type="spellEnd"/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, por meio do processo de certificação, que definirá os valores a serem transferidos aos Estados, Municípios e ao Distrito Federal, a avaliação de desempenho considerará os seguintes critérios:</w:t>
            </w:r>
          </w:p>
          <w:p w:rsidR="00786AA3" w:rsidRPr="00786AA3" w:rsidRDefault="00786AA3" w:rsidP="00786AA3">
            <w:pPr>
              <w:spacing w:before="121" w:after="0" w:line="324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I - INSATISFATÓRIO: quando o CEO não cumprir com os compromissos previstos nas Portarias nº 599/GM/MS, de 23 de março de 2006, nº 600/GM/MS, de 23 de março de 2006, e nº 1.464/GM/MS, de 24 de junho de 2011, assumidos no Termo de Compromisso no momento da </w:t>
            </w:r>
            <w:proofErr w:type="spellStart"/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contratualização</w:t>
            </w:r>
            <w:proofErr w:type="spellEnd"/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 no (PMAQ-CEO). No caso de CEO aderido a Rede de Cuidados à Pessoa com Deficiência, acrescenta-se ainda a Portaria nº 1.341/GM/MS, de 13 de junho de 2012;</w:t>
            </w:r>
          </w:p>
          <w:p w:rsidR="00786AA3" w:rsidRPr="00786AA3" w:rsidRDefault="00786AA3" w:rsidP="00786AA3">
            <w:pPr>
              <w:spacing w:before="121" w:after="0" w:line="324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II - MEDIANO OU ABAIXO DA MÉDIA: quando o resultado alcançado for menor do que a média do desempenho das equipes em seu estrato;</w:t>
            </w:r>
          </w:p>
          <w:p w:rsidR="00786AA3" w:rsidRPr="00786AA3" w:rsidRDefault="00786AA3" w:rsidP="00786AA3">
            <w:pPr>
              <w:spacing w:before="121" w:after="0" w:line="324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III - ACIMA DA MÉDIA: quando o resultado alcançado for maior do que a média e menor ou igual a +1 (mais um) desvio padrão da média do desempenho das equipes em seu estrato; e</w:t>
            </w:r>
          </w:p>
          <w:p w:rsidR="00786AA3" w:rsidRPr="00786AA3" w:rsidRDefault="00786AA3" w:rsidP="00786AA3">
            <w:pPr>
              <w:spacing w:before="121" w:after="0" w:line="324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IV - MUITO ACIMA DA MÉDIA: quando o resultado alcançado for maior do que +1 (mais um) desvio padrão da média do desempenho das equipes em seu estrato.</w:t>
            </w:r>
          </w:p>
          <w:p w:rsidR="00786AA3" w:rsidRPr="00786AA3" w:rsidRDefault="00786AA3" w:rsidP="00786AA3">
            <w:pPr>
              <w:spacing w:before="121" w:after="182" w:line="324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Art. 15. A partir da 2ª (segunda) certificação, o desempenho de </w:t>
            </w:r>
            <w:proofErr w:type="gramStart"/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cada</w:t>
            </w:r>
            <w:proofErr w:type="gramEnd"/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 CEO será comparado em relação aos outros CEO do mesmo Tipo e do seu estrato, bem quanto à evolução do seu próprio desempenho ao longo da adesão ao (PMAQ-CEO).</w:t>
            </w:r>
          </w:p>
          <w:p w:rsidR="00786AA3" w:rsidRPr="00786AA3" w:rsidRDefault="00786AA3" w:rsidP="00786AA3">
            <w:pPr>
              <w:spacing w:before="121" w:after="182" w:line="324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Art. 16. A partir da classificação alcançada no processo de certificação, respeitando-se as categorias de desempenho descritas nos </w:t>
            </w:r>
            <w:proofErr w:type="spellStart"/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arts</w:t>
            </w:r>
            <w:proofErr w:type="spellEnd"/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. 13 e 14, os Estados, Municípios e o Distrito Federal receberão, por CEO </w:t>
            </w:r>
            <w:proofErr w:type="spellStart"/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contratualizado</w:t>
            </w:r>
            <w:proofErr w:type="spellEnd"/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, os percentuais do incentivo (PMAQ-CEO) e </w:t>
            </w:r>
            <w:proofErr w:type="spellStart"/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contratualizarão</w:t>
            </w:r>
            <w:proofErr w:type="spellEnd"/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 novas metas e compromissos, conforme as seguintes regras:</w:t>
            </w:r>
          </w:p>
          <w:p w:rsidR="00786AA3" w:rsidRPr="00786AA3" w:rsidRDefault="00786AA3" w:rsidP="00786AA3">
            <w:pPr>
              <w:spacing w:before="121" w:after="0" w:line="324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lastRenderedPageBreak/>
              <w:t>I - DESEMPENHO INSATISFATÓRIO: suspensão do repasse dos 20% (vinte por cento) do incentivo (PMAQ-CEO) e obrigatoriedade de celebração de um termo de ajuste;</w:t>
            </w:r>
          </w:p>
          <w:p w:rsidR="00786AA3" w:rsidRPr="00786AA3" w:rsidRDefault="00786AA3" w:rsidP="00786AA3">
            <w:pPr>
              <w:spacing w:before="121" w:after="0" w:line="324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II - DESEMPENHO MEDIANO OU ABAIXO DA MÉDIA: manutenção dos 20% (vinte por cento) do incentivo PMAQ-CEO e </w:t>
            </w:r>
            <w:proofErr w:type="spellStart"/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Recontratualização</w:t>
            </w:r>
            <w:proofErr w:type="spellEnd"/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;</w:t>
            </w:r>
          </w:p>
          <w:p w:rsidR="00786AA3" w:rsidRPr="00786AA3" w:rsidRDefault="00786AA3" w:rsidP="00786AA3">
            <w:pPr>
              <w:spacing w:before="121" w:after="0" w:line="324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III - DESEMPENHO ACIMA DA MÉDIA: ampliação de 20% (vinte por cento) para 60% (sessenta por cento) do incentivo PMAQ-CEO e </w:t>
            </w:r>
            <w:proofErr w:type="spellStart"/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Recontratualização</w:t>
            </w:r>
            <w:proofErr w:type="spellEnd"/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; e</w:t>
            </w:r>
          </w:p>
          <w:p w:rsidR="00786AA3" w:rsidRPr="00786AA3" w:rsidRDefault="00786AA3" w:rsidP="00786AA3">
            <w:pPr>
              <w:spacing w:before="121" w:after="0" w:line="324" w:lineRule="auto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IV - DESEMPENHO MUITO ACIMA DA MÉDIA: ampliação de 20% (vinte por cento) para 100% (cem por cento) do incentivo (PMAQ-CEO) e </w:t>
            </w:r>
            <w:proofErr w:type="spellStart"/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Recontratualização</w:t>
            </w:r>
            <w:proofErr w:type="spellEnd"/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.</w:t>
            </w:r>
          </w:p>
          <w:p w:rsidR="00786AA3" w:rsidRPr="00786AA3" w:rsidRDefault="00786AA3" w:rsidP="00786AA3">
            <w:pPr>
              <w:spacing w:before="121" w:after="182" w:line="324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Art.17. O Grupo de Trabalho de Atenção à Saúde da comissão Intergestores Tripartite acompanhará o desenvolvimento do (PMAQ-CEO), com avaliação e definição, inclusive dos instrumentos utilizados no Programa.</w:t>
            </w:r>
          </w:p>
          <w:p w:rsidR="00786AA3" w:rsidRPr="00786AA3" w:rsidRDefault="00786AA3" w:rsidP="00786AA3">
            <w:pPr>
              <w:spacing w:before="121" w:after="182" w:line="324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Art. 18. O Ministério da Saúde, por meio Coordenação-Geral de Saúde Bucal, do Departamento de Atenção Básica, da </w:t>
            </w:r>
            <w:hyperlink r:id="rId13" w:tgtFrame="_blank" w:tooltip="Secretaria de Atenção à Saúde" w:history="1">
              <w:r w:rsidRPr="00786AA3">
                <w:rPr>
                  <w:rFonts w:ascii="Times New Roman" w:eastAsia="Times New Roman" w:hAnsi="Times New Roman" w:cs="Times New Roman"/>
                  <w:color w:val="1E6298"/>
                  <w:sz w:val="24"/>
                  <w:szCs w:val="24"/>
                  <w:lang w:eastAsia="pt-BR"/>
                </w:rPr>
                <w:t>Secretaria de Atenção à Saúde</w:t>
              </w:r>
            </w:hyperlink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, do Ministério da Saúde (CGSB/DAB/SAS/MS), publicará o Manual Instrutivo do (PMAQ-CEO), com a metodologia e outros detalhamentos do Programa.</w:t>
            </w:r>
          </w:p>
          <w:p w:rsidR="00786AA3" w:rsidRPr="00786AA3" w:rsidRDefault="00786AA3" w:rsidP="00786AA3">
            <w:pPr>
              <w:spacing w:before="121" w:after="182" w:line="324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Art. 19. Os recursos orçamentários de que trata esta Portaria são oriundos do orçamento do Ministério da Saúde, devendo onerar o Programa de Trabalho 10.301.2015.8730 - Ampliação da </w:t>
            </w:r>
            <w:proofErr w:type="spellStart"/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Resolutividade</w:t>
            </w:r>
            <w:proofErr w:type="spellEnd"/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 xml:space="preserve"> da Saúde Bucal na Atenção Básica e Especializada.</w:t>
            </w:r>
          </w:p>
          <w:p w:rsidR="00786AA3" w:rsidRPr="00786AA3" w:rsidRDefault="00786AA3" w:rsidP="00786AA3">
            <w:pPr>
              <w:spacing w:before="121" w:after="182" w:line="324" w:lineRule="auto"/>
              <w:ind w:firstLine="708"/>
              <w:jc w:val="both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Art. 20. Esta Portaria entra em vigor na data de sua publicação.</w:t>
            </w:r>
          </w:p>
          <w:p w:rsidR="00786AA3" w:rsidRPr="00786AA3" w:rsidRDefault="00786AA3" w:rsidP="00786AA3">
            <w:pPr>
              <w:spacing w:before="121" w:after="182" w:line="324" w:lineRule="auto"/>
              <w:jc w:val="center"/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</w:pPr>
            <w:r w:rsidRPr="00786AA3">
              <w:rPr>
                <w:rFonts w:ascii="Times New Roman" w:eastAsia="Times New Roman" w:hAnsi="Times New Roman" w:cs="Times New Roman"/>
                <w:color w:val="333333"/>
                <w:sz w:val="24"/>
                <w:szCs w:val="24"/>
                <w:lang w:eastAsia="pt-BR"/>
              </w:rPr>
              <w:t>ALEXANDRE ROCHA SANTOS PADILHA</w:t>
            </w:r>
          </w:p>
        </w:tc>
      </w:tr>
    </w:tbl>
    <w:p w:rsidR="00234C55" w:rsidRDefault="00234C55"/>
    <w:sectPr w:rsidR="00234C55" w:rsidSect="00234C55">
      <w:pgSz w:w="11906" w:h="16838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4"/>
  <w:proofState w:spelling="clean" w:grammar="clean"/>
  <w:defaultTabStop w:val="708"/>
  <w:hyphenationZone w:val="425"/>
  <w:characterSpacingControl w:val="doNotCompress"/>
  <w:compat/>
  <w:rsids>
    <w:rsidRoot w:val="00786AA3"/>
    <w:rsid w:val="00234C55"/>
    <w:rsid w:val="006F03F1"/>
    <w:rsid w:val="00786AA3"/>
    <w:rsid w:val="00CB315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34C55"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styleId="Hyperlink">
    <w:name w:val="Hyperlink"/>
    <w:basedOn w:val="Fontepargpadro"/>
    <w:uiPriority w:val="99"/>
    <w:semiHidden/>
    <w:unhideWhenUsed/>
    <w:rsid w:val="00786AA3"/>
    <w:rPr>
      <w:strike w:val="0"/>
      <w:dstrike w:val="0"/>
      <w:color w:val="1E6298"/>
      <w:u w:val="none"/>
      <w:effect w:val="none"/>
    </w:rPr>
  </w:style>
  <w:style w:type="paragraph" w:styleId="Textodebalo">
    <w:name w:val="Balloon Text"/>
    <w:basedOn w:val="Normal"/>
    <w:link w:val="TextodebaloChar"/>
    <w:uiPriority w:val="99"/>
    <w:semiHidden/>
    <w:unhideWhenUsed/>
    <w:rsid w:val="00786A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786AA3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9043669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28538106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38380108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40176212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76927888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17916736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484274539">
                              <w:marLeft w:val="182"/>
                              <w:marRight w:val="182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74866015">
                                  <w:marLeft w:val="0"/>
                                  <w:marRight w:val="0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59941330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  <w:divsChild>
                                        <w:div w:id="1011302730">
                                          <w:marLeft w:val="0"/>
                                          <w:marRight w:val="0"/>
                                          <w:marTop w:val="0"/>
                                          <w:marBottom w:val="0"/>
                                          <w:divBdr>
                                            <w:top w:val="none" w:sz="0" w:space="0" w:color="auto"/>
                                            <w:left w:val="none" w:sz="0" w:space="0" w:color="auto"/>
                                            <w:bottom w:val="none" w:sz="0" w:space="0" w:color="auto"/>
                                            <w:right w:val="none" w:sz="0" w:space="0" w:color="auto"/>
                                          </w:divBdr>
                                          <w:divsChild>
                                            <w:div w:id="305746224">
                                              <w:marLeft w:val="0"/>
                                              <w:marRight w:val="0"/>
                                              <w:marTop w:val="242"/>
                                              <w:marBottom w:val="242"/>
                                              <w:divBdr>
                                                <w:top w:val="none" w:sz="0" w:space="0" w:color="auto"/>
                                                <w:left w:val="none" w:sz="0" w:space="0" w:color="auto"/>
                                                <w:bottom w:val="none" w:sz="0" w:space="0" w:color="auto"/>
                                                <w:right w:val="none" w:sz="0" w:space="0" w:color="auto"/>
                                              </w:divBdr>
                                              <w:divsChild>
                                                <w:div w:id="663584517">
                                                  <w:marLeft w:val="0"/>
                                                  <w:marRight w:val="0"/>
                                                  <w:marTop w:val="0"/>
                                                  <w:marBottom w:val="0"/>
                                                  <w:divBdr>
                                                    <w:top w:val="none" w:sz="0" w:space="0" w:color="auto"/>
                                                    <w:left w:val="none" w:sz="0" w:space="0" w:color="auto"/>
                                                    <w:bottom w:val="none" w:sz="0" w:space="0" w:color="auto"/>
                                                    <w:right w:val="none" w:sz="0" w:space="0" w:color="auto"/>
                                                  </w:divBdr>
                                                  <w:divsChild>
                                                    <w:div w:id="521091444">
                                                      <w:marLeft w:val="0"/>
                                                      <w:marRight w:val="0"/>
                                                      <w:marTop w:val="0"/>
                                                      <w:marBottom w:val="0"/>
                                                      <w:divBdr>
                                                        <w:top w:val="none" w:sz="0" w:space="0" w:color="auto"/>
                                                        <w:left w:val="none" w:sz="0" w:space="0" w:color="auto"/>
                                                        <w:bottom w:val="none" w:sz="0" w:space="0" w:color="auto"/>
                                                        <w:right w:val="none" w:sz="0" w:space="0" w:color="auto"/>
                                                      </w:divBdr>
                                                    </w:div>
                                                  </w:divsChild>
                                                </w:div>
                                              </w:divsChild>
                                            </w:div>
                                          </w:divsChild>
                                        </w:div>
                                      </w:divsChild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http://www.jusbrasil.com.br/diarios/51159277/dou-secao-1-22-02-2013-pg-55" TargetMode="External"/><Relationship Id="rId13" Type="http://schemas.openxmlformats.org/officeDocument/2006/relationships/hyperlink" Target="http://www.brasilsus.com.br/noticias/nacionais/101353-secretaria-de-atencao-a-saude-sas?q=%22secretaria+de+aten%C3%A7%C3%A3o+%C3%A0+sa%C3%BAde%22" TargetMode="Externa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hyperlink" Target="http://www.jusbrasil.com.br/diarios/51159278/dou-secao-1-22-02-2013-pg-56" TargetMode="Externa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yperlink" Target="http://www.brasilsus.com.br/component/mailto/?tmpl=component&amp;link=aHR0cDovL3d3dy5icmFzaWxzdXMuY29tLmJyL2xlZ2lzbGFjb2VzL2dtLzExNzk2My0yNjEuaHRtbA==" TargetMode="External"/><Relationship Id="rId11" Type="http://schemas.openxmlformats.org/officeDocument/2006/relationships/hyperlink" Target="http://www.jusbrasil.com.br/diarios/51159278/dou-secao-1-22-02-2013-pg-56" TargetMode="External"/><Relationship Id="rId5" Type="http://schemas.openxmlformats.org/officeDocument/2006/relationships/image" Target="media/image1.png"/><Relationship Id="rId15" Type="http://schemas.openxmlformats.org/officeDocument/2006/relationships/theme" Target="theme/theme1.xml"/><Relationship Id="rId10" Type="http://schemas.openxmlformats.org/officeDocument/2006/relationships/hyperlink" Target="http://www.jusbrasil.com.br/diarios/51159278/dou-secao-1-22-02-2013-pg-56" TargetMode="External"/><Relationship Id="rId4" Type="http://schemas.openxmlformats.org/officeDocument/2006/relationships/hyperlink" Target="http://www.brasilsus.com.br/legislacoes/gm/117963-261.html?tmpl=component&amp;print=1&amp;page=" TargetMode="External"/><Relationship Id="rId9" Type="http://schemas.openxmlformats.org/officeDocument/2006/relationships/hyperlink" Target="http://www.brasilsus.com.br/noticias/nacionais/101353-secretaria-de-atencao-a-saude-sas?q=%22secretaria+de+aten%C3%A7%C3%A3o+%C3%A0+sa%C3%BAde%22" TargetMode="External"/><Relationship Id="rId1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6</Pages>
  <Words>2072</Words>
  <Characters>11195</Characters>
  <Application>Microsoft Office Word</Application>
  <DocSecurity>0</DocSecurity>
  <Lines>93</Lines>
  <Paragraphs>26</Paragraphs>
  <ScaleCrop>false</ScaleCrop>
  <Company/>
  <LinksUpToDate>false</LinksUpToDate>
  <CharactersWithSpaces>13241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passosdm</dc:creator>
  <cp:lastModifiedBy>rosamc</cp:lastModifiedBy>
  <cp:revision>2</cp:revision>
  <dcterms:created xsi:type="dcterms:W3CDTF">2013-02-22T16:51:00Z</dcterms:created>
  <dcterms:modified xsi:type="dcterms:W3CDTF">2013-02-22T16:51:00Z</dcterms:modified>
</cp:coreProperties>
</file>