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15" w:type="dxa"/>
        <w:tblCellMar>
          <w:top w:w="15" w:type="dxa"/>
          <w:left w:w="15" w:type="dxa"/>
          <w:bottom w:w="15" w:type="dxa"/>
          <w:right w:w="15" w:type="dxa"/>
        </w:tblCellMar>
        <w:tblLook w:val="04A0"/>
      </w:tblPr>
      <w:tblGrid>
        <w:gridCol w:w="5085"/>
      </w:tblGrid>
      <w:tr w:rsidR="002872AD" w:rsidRPr="002872AD" w:rsidTr="002872AD">
        <w:trPr>
          <w:tblCellSpacing w:w="15" w:type="dxa"/>
        </w:trPr>
        <w:tc>
          <w:tcPr>
            <w:tcW w:w="5000" w:type="pct"/>
            <w:vAlign w:val="center"/>
            <w:hideMark/>
          </w:tcPr>
          <w:p w:rsidR="002872AD" w:rsidRPr="002872AD" w:rsidRDefault="002872AD" w:rsidP="002872AD">
            <w:pPr>
              <w:spacing w:after="0" w:line="240" w:lineRule="auto"/>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PORTARIA Nº 1.256, DE 25 DE JUNHO DE </w:t>
            </w:r>
            <w:proofErr w:type="gramStart"/>
            <w:r w:rsidRPr="002872AD">
              <w:rPr>
                <w:rFonts w:ascii="Times New Roman" w:eastAsia="Times New Roman" w:hAnsi="Times New Roman" w:cs="Times New Roman"/>
                <w:sz w:val="24"/>
                <w:szCs w:val="24"/>
                <w:lang w:eastAsia="pt-BR"/>
              </w:rPr>
              <w:t>2013</w:t>
            </w:r>
            <w:proofErr w:type="gramEnd"/>
            <w:r w:rsidRPr="002872AD">
              <w:rPr>
                <w:rFonts w:ascii="Times New Roman" w:eastAsia="Times New Roman" w:hAnsi="Times New Roman" w:cs="Times New Roman"/>
                <w:sz w:val="24"/>
                <w:szCs w:val="24"/>
                <w:lang w:eastAsia="pt-BR"/>
              </w:rPr>
              <w:t xml:space="preserve"> </w:t>
            </w:r>
          </w:p>
        </w:tc>
      </w:tr>
    </w:tbl>
    <w:p w:rsidR="002872AD" w:rsidRPr="002872AD" w:rsidRDefault="002872AD" w:rsidP="002872AD">
      <w:pPr>
        <w:spacing w:after="0" w:line="240" w:lineRule="auto"/>
        <w:rPr>
          <w:rFonts w:ascii="Times New Roman" w:eastAsia="Times New Roman" w:hAnsi="Times New Roman" w:cs="Times New Roman"/>
          <w:vanish/>
          <w:sz w:val="24"/>
          <w:szCs w:val="24"/>
          <w:lang w:eastAsia="pt-BR"/>
        </w:rPr>
      </w:pPr>
    </w:p>
    <w:tbl>
      <w:tblPr>
        <w:tblW w:w="0" w:type="auto"/>
        <w:tblCellSpacing w:w="15" w:type="dxa"/>
        <w:tblCellMar>
          <w:top w:w="15" w:type="dxa"/>
          <w:left w:w="15" w:type="dxa"/>
          <w:bottom w:w="15" w:type="dxa"/>
          <w:right w:w="15" w:type="dxa"/>
        </w:tblCellMar>
        <w:tblLook w:val="04A0"/>
      </w:tblPr>
      <w:tblGrid>
        <w:gridCol w:w="8594"/>
      </w:tblGrid>
      <w:tr w:rsidR="002872AD" w:rsidRPr="002872AD" w:rsidTr="002872AD">
        <w:trPr>
          <w:tblCellSpacing w:w="15" w:type="dxa"/>
        </w:trPr>
        <w:tc>
          <w:tcPr>
            <w:tcW w:w="0" w:type="auto"/>
            <w:hideMark/>
          </w:tcPr>
          <w:p w:rsidR="002872AD" w:rsidRPr="002872AD" w:rsidRDefault="002872AD" w:rsidP="002872AD">
            <w:pPr>
              <w:spacing w:after="0" w:line="240" w:lineRule="auto"/>
              <w:jc w:val="center"/>
              <w:rPr>
                <w:rFonts w:ascii="Verdana" w:eastAsia="Times New Roman" w:hAnsi="Verdana" w:cs="Times New Roman"/>
                <w:sz w:val="18"/>
                <w:szCs w:val="18"/>
                <w:lang w:eastAsia="pt-BR"/>
              </w:rPr>
            </w:pPr>
            <w:r w:rsidRPr="002872AD">
              <w:rPr>
                <w:rFonts w:ascii="Verdana" w:eastAsia="Times New Roman" w:hAnsi="Verdana" w:cs="Times New Roman"/>
                <w:sz w:val="18"/>
                <w:szCs w:val="18"/>
                <w:lang w:eastAsia="pt-BR"/>
              </w:rPr>
              <w:t xml:space="preserve">PORTARIA Nº 1.256, DE 25 DE JUNHO DE </w:t>
            </w:r>
            <w:proofErr w:type="gramStart"/>
            <w:r w:rsidRPr="002872AD">
              <w:rPr>
                <w:rFonts w:ascii="Verdana" w:eastAsia="Times New Roman" w:hAnsi="Verdana" w:cs="Times New Roman"/>
                <w:sz w:val="18"/>
                <w:szCs w:val="18"/>
                <w:lang w:eastAsia="pt-BR"/>
              </w:rPr>
              <w:t>2013</w:t>
            </w:r>
            <w:proofErr w:type="gramEnd"/>
          </w:p>
          <w:p w:rsidR="002872AD" w:rsidRPr="002872AD" w:rsidRDefault="002872AD" w:rsidP="002872AD">
            <w:pPr>
              <w:spacing w:before="100" w:beforeAutospacing="1" w:after="100" w:afterAutospacing="1" w:line="240" w:lineRule="auto"/>
              <w:jc w:val="both"/>
              <w:rPr>
                <w:rFonts w:ascii="Verdana" w:eastAsia="Times New Roman" w:hAnsi="Verdana" w:cs="Times New Roman"/>
                <w:sz w:val="18"/>
                <w:szCs w:val="18"/>
                <w:lang w:eastAsia="pt-BR"/>
              </w:rPr>
            </w:pPr>
            <w:r w:rsidRPr="002872AD">
              <w:rPr>
                <w:rFonts w:ascii="Verdana" w:eastAsia="Times New Roman" w:hAnsi="Verdana" w:cs="Times New Roman"/>
                <w:sz w:val="18"/>
                <w:szCs w:val="18"/>
                <w:lang w:eastAsia="pt-BR"/>
              </w:rPr>
              <w:t> </w:t>
            </w:r>
          </w:p>
          <w:p w:rsidR="002872AD" w:rsidRPr="002872AD" w:rsidRDefault="002872AD" w:rsidP="002872AD">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Aprova a Etapa III do Plano de Ação da Rede de Atenção às Urgências do Estado de Santa Catarina e Municípios e aloca recursos financeiros para sua implantação - Bloco da Atenção de Média e Alta Complexidade Ambulatorial e Hospitalar.</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O MINISTRO DE ESTADO DA SAÚDE, no uso das atribuições que lhe conferem os incisos I e II do parágrafo único do art. 87 da Constituição, </w:t>
            </w:r>
            <w:proofErr w:type="gramStart"/>
            <w:r w:rsidRPr="002872AD">
              <w:rPr>
                <w:rFonts w:ascii="Times New Roman" w:eastAsia="Times New Roman" w:hAnsi="Times New Roman" w:cs="Times New Roman"/>
                <w:sz w:val="24"/>
                <w:szCs w:val="24"/>
                <w:lang w:eastAsia="pt-BR"/>
              </w:rPr>
              <w:t>e</w:t>
            </w:r>
            <w:proofErr w:type="gramEnd"/>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Considerando a Portaria nº 204/GM/MS, de 29 de janeiro de 2007, que regulamenta o financiamento e a transferência dos recursos federais para as ações e os serviços de saúde, na forma de blocos de financiamento, com o respectivo monitoramento e controle;</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Considerando a Portaria nº 4.279/GM/MS, de 30 de dezembro de 2010, que estabelece diretrizes para a organização da Rede de Atenção à Saúde no âmbito do SUS;</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Considerando a Portaria nº 1.600/GM/MS, de </w:t>
            </w:r>
            <w:proofErr w:type="gramStart"/>
            <w:r w:rsidRPr="002872AD">
              <w:rPr>
                <w:rFonts w:ascii="Times New Roman" w:eastAsia="Times New Roman" w:hAnsi="Times New Roman" w:cs="Times New Roman"/>
                <w:sz w:val="24"/>
                <w:szCs w:val="24"/>
                <w:lang w:eastAsia="pt-BR"/>
              </w:rPr>
              <w:t>7</w:t>
            </w:r>
            <w:proofErr w:type="gramEnd"/>
            <w:r w:rsidRPr="002872AD">
              <w:rPr>
                <w:rFonts w:ascii="Times New Roman" w:eastAsia="Times New Roman" w:hAnsi="Times New Roman" w:cs="Times New Roman"/>
                <w:sz w:val="24"/>
                <w:szCs w:val="24"/>
                <w:lang w:eastAsia="pt-BR"/>
              </w:rPr>
              <w:t xml:space="preserve"> de julho de 2011, que reformula a Política Nacional de Atenção às Urgências e institui a Rede de Atenção às Urgências no SUS;</w:t>
            </w:r>
          </w:p>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Considerando a Portaria nº 2.395/GM/MS, de 11 de outubro de 2011, que organiza o Componente Hospitalar da Rede de Atenção às Urgências no âmbito do Sistema Único de Saúde;</w:t>
            </w:r>
          </w:p>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 Considerando a Portaria nº 2.338/GM/MS, de </w:t>
            </w:r>
            <w:proofErr w:type="gramStart"/>
            <w:r w:rsidRPr="002872AD">
              <w:rPr>
                <w:rFonts w:ascii="Times New Roman" w:eastAsia="Times New Roman" w:hAnsi="Times New Roman" w:cs="Times New Roman"/>
                <w:sz w:val="24"/>
                <w:szCs w:val="24"/>
                <w:lang w:eastAsia="pt-BR"/>
              </w:rPr>
              <w:t>3</w:t>
            </w:r>
            <w:proofErr w:type="gramEnd"/>
            <w:r w:rsidRPr="002872AD">
              <w:rPr>
                <w:rFonts w:ascii="Times New Roman" w:eastAsia="Times New Roman" w:hAnsi="Times New Roman" w:cs="Times New Roman"/>
                <w:sz w:val="24"/>
                <w:szCs w:val="24"/>
                <w:lang w:eastAsia="pt-BR"/>
              </w:rPr>
              <w:t xml:space="preserve"> de outubro de 2011, que estabelece diretrizes e cria mecanismos para a implantação do componente Sala de Estabilização (SE) da Rede de Atenção às Urgências;</w:t>
            </w:r>
          </w:p>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  Considerando a Portaria nº 963/GM/MS, de 27 de maio de 2013, que redefine a Atenção Domiciliar no âmbito do </w:t>
            </w:r>
            <w:hyperlink r:id="rId4" w:history="1">
              <w:r w:rsidRPr="002872AD">
                <w:rPr>
                  <w:rFonts w:ascii="Times New Roman" w:eastAsia="Times New Roman" w:hAnsi="Times New Roman" w:cs="Times New Roman"/>
                  <w:color w:val="0000FF"/>
                  <w:sz w:val="24"/>
                  <w:szCs w:val="24"/>
                  <w:u w:val="single"/>
                  <w:lang w:eastAsia="pt-BR"/>
                </w:rPr>
                <w:t>Sistema</w:t>
              </w:r>
            </w:hyperlink>
            <w:r w:rsidRPr="002872AD">
              <w:rPr>
                <w:rFonts w:ascii="Times New Roman" w:eastAsia="Times New Roman" w:hAnsi="Times New Roman" w:cs="Times New Roman"/>
                <w:sz w:val="24"/>
                <w:szCs w:val="24"/>
                <w:lang w:eastAsia="pt-BR"/>
              </w:rPr>
              <w:t xml:space="preserve"> Único de Saúde;</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Considerando a Portaria nº 2.648/GM/MS, de </w:t>
            </w:r>
            <w:proofErr w:type="gramStart"/>
            <w:r w:rsidRPr="002872AD">
              <w:rPr>
                <w:rFonts w:ascii="Times New Roman" w:eastAsia="Times New Roman" w:hAnsi="Times New Roman" w:cs="Times New Roman"/>
                <w:sz w:val="24"/>
                <w:szCs w:val="24"/>
                <w:lang w:eastAsia="pt-BR"/>
              </w:rPr>
              <w:t>7</w:t>
            </w:r>
            <w:proofErr w:type="gramEnd"/>
            <w:r w:rsidRPr="002872AD">
              <w:rPr>
                <w:rFonts w:ascii="Times New Roman" w:eastAsia="Times New Roman" w:hAnsi="Times New Roman" w:cs="Times New Roman"/>
                <w:sz w:val="24"/>
                <w:szCs w:val="24"/>
                <w:lang w:eastAsia="pt-BR"/>
              </w:rPr>
              <w:t xml:space="preserve"> de novembro de 2011, que redefine as diretrizes para implantação do Componente Unidade de Pronto Atendimento (UPA 24h) e do conjunto de serviços de urgência 24 (vinte e quatro) horas da Rede de Atenção às Urgências, em conformidade com a Política Nacional de Atenção às Urgências;</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Considerando a Portaria nº 2.820/GM/MS, de 28 de novembro de 2011, que dispõe sobre o incentivo financeiro de investimento para </w:t>
            </w:r>
            <w:proofErr w:type="gramStart"/>
            <w:r w:rsidRPr="002872AD">
              <w:rPr>
                <w:rFonts w:ascii="Times New Roman" w:eastAsia="Times New Roman" w:hAnsi="Times New Roman" w:cs="Times New Roman"/>
                <w:sz w:val="24"/>
                <w:szCs w:val="24"/>
                <w:lang w:eastAsia="pt-BR"/>
              </w:rPr>
              <w:t>o Componente Unidade</w:t>
            </w:r>
            <w:proofErr w:type="gramEnd"/>
            <w:r w:rsidRPr="002872AD">
              <w:rPr>
                <w:rFonts w:ascii="Times New Roman" w:eastAsia="Times New Roman" w:hAnsi="Times New Roman" w:cs="Times New Roman"/>
                <w:sz w:val="24"/>
                <w:szCs w:val="24"/>
                <w:lang w:eastAsia="pt-BR"/>
              </w:rPr>
              <w:t xml:space="preserve"> de </w:t>
            </w:r>
            <w:r w:rsidRPr="002872AD">
              <w:rPr>
                <w:rFonts w:ascii="Times New Roman" w:eastAsia="Times New Roman" w:hAnsi="Times New Roman" w:cs="Times New Roman"/>
                <w:sz w:val="24"/>
                <w:szCs w:val="24"/>
                <w:lang w:eastAsia="pt-BR"/>
              </w:rPr>
              <w:lastRenderedPageBreak/>
              <w:t>Pronto Atendimento (UPA 24h) e o conjunto de serviços de urgência 24 horas da Rede de Atenção às Urgências, em conformidade com a Política Nacional de Atenção às Urgências;</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Considerando a Portaria nº 665/GM/MS, de 12 de abril de 2012, que dispõe sobre os critérios de habilitação dos estabelecimentos hospitalares como Centro de Atendimento de Urgência aos Pacientes com Acidente Vascular Cerebral (AVC), no âmbito do Sistema Único de Saúde, institui o respectivo incentivo financeiro e aprova a Linha de Cuidados em AVC;</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Considerando a Portaria nº 2.994/GM/MS, de 13 de dezembro de 2011, que aprova a Linha de Cuidado do Infarto Agudo do Miocárdio e o Protocolo de Síndromes Coronarianas Agudas, cria e altera procedimentos na Tabela de Procedimentos, Medicamentos, </w:t>
            </w:r>
            <w:proofErr w:type="spellStart"/>
            <w:r w:rsidRPr="002872AD">
              <w:rPr>
                <w:rFonts w:ascii="Times New Roman" w:eastAsia="Times New Roman" w:hAnsi="Times New Roman" w:cs="Times New Roman"/>
                <w:sz w:val="24"/>
                <w:szCs w:val="24"/>
                <w:lang w:eastAsia="pt-BR"/>
              </w:rPr>
              <w:t>Órteses</w:t>
            </w:r>
            <w:proofErr w:type="spellEnd"/>
            <w:r w:rsidRPr="002872AD">
              <w:rPr>
                <w:rFonts w:ascii="Times New Roman" w:eastAsia="Times New Roman" w:hAnsi="Times New Roman" w:cs="Times New Roman"/>
                <w:sz w:val="24"/>
                <w:szCs w:val="24"/>
                <w:lang w:eastAsia="pt-BR"/>
              </w:rPr>
              <w:t>, Próteses e Materiais Especiais do SUS;</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Considerando a Portaria nº 1.010/GM/MS, de 21 de maio de 2012, que redefine as diretrizes para a implantação do Serviço de Atendimento Móvel de Urgência (SAMU 192) e sua Central de Regulação das Urgências, componente da Rede de Atenção às Urgências;</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Considerando a Portaria nº 1.172/GM/MS, de </w:t>
            </w:r>
            <w:proofErr w:type="gramStart"/>
            <w:r w:rsidRPr="002872AD">
              <w:rPr>
                <w:rFonts w:ascii="Times New Roman" w:eastAsia="Times New Roman" w:hAnsi="Times New Roman" w:cs="Times New Roman"/>
                <w:sz w:val="24"/>
                <w:szCs w:val="24"/>
                <w:lang w:eastAsia="pt-BR"/>
              </w:rPr>
              <w:t>5</w:t>
            </w:r>
            <w:proofErr w:type="gramEnd"/>
            <w:r w:rsidRPr="002872AD">
              <w:rPr>
                <w:rFonts w:ascii="Times New Roman" w:eastAsia="Times New Roman" w:hAnsi="Times New Roman" w:cs="Times New Roman"/>
                <w:sz w:val="24"/>
                <w:szCs w:val="24"/>
                <w:lang w:eastAsia="pt-BR"/>
              </w:rPr>
              <w:t xml:space="preserve"> junho de 2012, que dispõe sobre o incentivo financeiro de custeio para o Componente Unidade de Pronto Atendimento (UPA 24h) e o conjunto de serviços de urgência 24 horas da Rede de Atenção às Urgências, em conformidade com a Política Nacional de Atenção às Urgências;</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Considerando a Portaria nº 2.809/GM/MS, de </w:t>
            </w:r>
            <w:proofErr w:type="gramStart"/>
            <w:r w:rsidRPr="002872AD">
              <w:rPr>
                <w:rFonts w:ascii="Times New Roman" w:eastAsia="Times New Roman" w:hAnsi="Times New Roman" w:cs="Times New Roman"/>
                <w:sz w:val="24"/>
                <w:szCs w:val="24"/>
                <w:lang w:eastAsia="pt-BR"/>
              </w:rPr>
              <w:t>7</w:t>
            </w:r>
            <w:proofErr w:type="gramEnd"/>
            <w:r w:rsidRPr="002872AD">
              <w:rPr>
                <w:rFonts w:ascii="Times New Roman" w:eastAsia="Times New Roman" w:hAnsi="Times New Roman" w:cs="Times New Roman"/>
                <w:sz w:val="24"/>
                <w:szCs w:val="24"/>
                <w:lang w:eastAsia="pt-BR"/>
              </w:rPr>
              <w:t xml:space="preserve"> de dezembro de 2012, que estabelece a organização dos Cuidados Prolongados para retaguarda à Rede de Atenção às Urgências e Emergências (RUE) e demais Redes Temáticas de Atenção à Saúde, no âmbito do SUS;</w:t>
            </w:r>
          </w:p>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Considerando a Portaria nº 2.011/GM/MS, de 14 de setembro de 2012, que aprova a Etapa I do Plano de Ação da Rede de Atenção às Urgências do Estado de Santa Catarina, referente à Região Metropolitana de Florianópolis;</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  Considerando a Portaria nº 2.541/GM/MS, de </w:t>
            </w:r>
            <w:proofErr w:type="gramStart"/>
            <w:r w:rsidRPr="002872AD">
              <w:rPr>
                <w:rFonts w:ascii="Times New Roman" w:eastAsia="Times New Roman" w:hAnsi="Times New Roman" w:cs="Times New Roman"/>
                <w:sz w:val="24"/>
                <w:szCs w:val="24"/>
                <w:lang w:eastAsia="pt-BR"/>
              </w:rPr>
              <w:t>8</w:t>
            </w:r>
            <w:proofErr w:type="gramEnd"/>
            <w:r w:rsidRPr="002872AD">
              <w:rPr>
                <w:rFonts w:ascii="Times New Roman" w:eastAsia="Times New Roman" w:hAnsi="Times New Roman" w:cs="Times New Roman"/>
                <w:sz w:val="24"/>
                <w:szCs w:val="24"/>
                <w:lang w:eastAsia="pt-BR"/>
              </w:rPr>
              <w:t xml:space="preserve"> de novembro de 2012, que aprova a Etapa II do Plano de Ação da Rede de Atenção às Urgências do Estado de Santa Catarina e Municípios, e aloca </w:t>
            </w:r>
            <w:hyperlink r:id="rId5" w:history="1">
              <w:r w:rsidRPr="002872AD">
                <w:rPr>
                  <w:rFonts w:ascii="Times New Roman" w:eastAsia="Times New Roman" w:hAnsi="Times New Roman" w:cs="Times New Roman"/>
                  <w:color w:val="0000FF"/>
                  <w:sz w:val="24"/>
                  <w:szCs w:val="24"/>
                  <w:u w:val="single"/>
                  <w:lang w:eastAsia="pt-BR"/>
                </w:rPr>
                <w:t>recursos</w:t>
              </w:r>
            </w:hyperlink>
            <w:r w:rsidRPr="002872AD">
              <w:rPr>
                <w:rFonts w:ascii="Times New Roman" w:eastAsia="Times New Roman" w:hAnsi="Times New Roman" w:cs="Times New Roman"/>
                <w:sz w:val="24"/>
                <w:szCs w:val="24"/>
                <w:lang w:eastAsia="pt-BR"/>
              </w:rPr>
              <w:t xml:space="preserve"> financeiros para sua implantação; e</w:t>
            </w:r>
          </w:p>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Considerando Deliberação nº 191, de </w:t>
            </w:r>
            <w:proofErr w:type="gramStart"/>
            <w:r w:rsidRPr="002872AD">
              <w:rPr>
                <w:rFonts w:ascii="Times New Roman" w:eastAsia="Times New Roman" w:hAnsi="Times New Roman" w:cs="Times New Roman"/>
                <w:sz w:val="24"/>
                <w:szCs w:val="24"/>
                <w:lang w:eastAsia="pt-BR"/>
              </w:rPr>
              <w:t>7</w:t>
            </w:r>
            <w:proofErr w:type="gramEnd"/>
            <w:r w:rsidRPr="002872AD">
              <w:rPr>
                <w:rFonts w:ascii="Times New Roman" w:eastAsia="Times New Roman" w:hAnsi="Times New Roman" w:cs="Times New Roman"/>
                <w:sz w:val="24"/>
                <w:szCs w:val="24"/>
                <w:lang w:eastAsia="pt-BR"/>
              </w:rPr>
              <w:t xml:space="preserve"> de junho de 2013, da Comissão Intergestores </w:t>
            </w:r>
            <w:proofErr w:type="spellStart"/>
            <w:r w:rsidRPr="002872AD">
              <w:rPr>
                <w:rFonts w:ascii="Times New Roman" w:eastAsia="Times New Roman" w:hAnsi="Times New Roman" w:cs="Times New Roman"/>
                <w:sz w:val="24"/>
                <w:szCs w:val="24"/>
                <w:lang w:eastAsia="pt-BR"/>
              </w:rPr>
              <w:t>Bipartite</w:t>
            </w:r>
            <w:proofErr w:type="spellEnd"/>
            <w:r w:rsidRPr="002872AD">
              <w:rPr>
                <w:rFonts w:ascii="Times New Roman" w:eastAsia="Times New Roman" w:hAnsi="Times New Roman" w:cs="Times New Roman"/>
                <w:sz w:val="24"/>
                <w:szCs w:val="24"/>
                <w:lang w:eastAsia="pt-BR"/>
              </w:rPr>
              <w:t xml:space="preserve"> do Estado de Santa Catarina (CIB/SC) que aprova o Plano de Ação da Rede de Atenção às Urgências e Emergências das Macrorregiões: Extremo Oeste, Meio Oeste, Planalto Serrano, Sul, Vale do Itajaí e Foz do Rio Itajaí, resolve:</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Art. 1º Fica aprovada a Etapa III do Plano de Ação da Rede de Atenção às Urgências do Estado de Santa Catarina, referente às macrorregiões: Extremo Oeste, Meio Oeste, Planalto Serrano, Sul, Vale do Itajaí e Foz do Rio Itajaí.</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 1º O Plano de Ação de que trata o "caput" deste artigo estará disponível no </w:t>
            </w:r>
            <w:r w:rsidRPr="002872AD">
              <w:rPr>
                <w:rFonts w:ascii="Times New Roman" w:eastAsia="Times New Roman" w:hAnsi="Times New Roman" w:cs="Times New Roman"/>
                <w:sz w:val="24"/>
                <w:szCs w:val="24"/>
                <w:lang w:eastAsia="pt-BR"/>
              </w:rPr>
              <w:lastRenderedPageBreak/>
              <w:t>site: http://sismac.saude.gov.br/ em até 15 (quinze) dias após a publicação desta Portaria.</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2º Os recursos referentes à Etapa III do Plano de Ação encontram-se no Anexo a esta Portaria.</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Art. 2º Ficam estabelecidos recursos no montante de R$ 69.103.319,71 (sessenta e nove milhões cento e três mil trezentos e dezenove reais setenta e um centavos) a serem disponibilizados ao Estado e Municípios de Santa Catarina destinados à </w:t>
            </w:r>
            <w:proofErr w:type="gramStart"/>
            <w:r w:rsidRPr="002872AD">
              <w:rPr>
                <w:rFonts w:ascii="Times New Roman" w:eastAsia="Times New Roman" w:hAnsi="Times New Roman" w:cs="Times New Roman"/>
                <w:sz w:val="24"/>
                <w:szCs w:val="24"/>
                <w:lang w:eastAsia="pt-BR"/>
              </w:rPr>
              <w:t>implementação</w:t>
            </w:r>
            <w:proofErr w:type="gramEnd"/>
            <w:r w:rsidRPr="002872AD">
              <w:rPr>
                <w:rFonts w:ascii="Times New Roman" w:eastAsia="Times New Roman" w:hAnsi="Times New Roman" w:cs="Times New Roman"/>
                <w:sz w:val="24"/>
                <w:szCs w:val="24"/>
                <w:lang w:eastAsia="pt-BR"/>
              </w:rPr>
              <w:t xml:space="preserve"> do previsto no Plano de Ação de que trata o art. 1º, conforme estabelecido no Anexo a esta Portaria, da seguinte forma:</w:t>
            </w:r>
          </w:p>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I - R$ 5.315.639,98 (cinco milhões trezentos e quinze mil seiscentos e trinta e nove reais e noventa e oito centavos) a serem transferidos, em parcela única, ao Estado e Municípios de Santa Catarina; e II - R$ 63.787.679,73 (sessenta e três milhões setecentos e oitenta e sete mil seiscentos e setenta e nove reais e setenta e três centavos), a serem incorporados ao limite financeiro anual de média e alta complexidade do Estado e Municípios de Santa Catarina.</w:t>
            </w:r>
          </w:p>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  § 1º Os recursos serão incorporados de acordo com o tipo de gestão dos estabelecimentos </w:t>
            </w:r>
            <w:hyperlink r:id="rId6" w:history="1">
              <w:r w:rsidRPr="002872AD">
                <w:rPr>
                  <w:rFonts w:ascii="Times New Roman" w:eastAsia="Times New Roman" w:hAnsi="Times New Roman" w:cs="Times New Roman"/>
                  <w:color w:val="0000FF"/>
                  <w:sz w:val="24"/>
                  <w:szCs w:val="24"/>
                  <w:u w:val="single"/>
                  <w:lang w:eastAsia="pt-BR"/>
                </w:rPr>
                <w:t>contemplados</w:t>
              </w:r>
            </w:hyperlink>
            <w:r w:rsidRPr="002872AD">
              <w:rPr>
                <w:rFonts w:ascii="Times New Roman" w:eastAsia="Times New Roman" w:hAnsi="Times New Roman" w:cs="Times New Roman"/>
                <w:sz w:val="24"/>
                <w:szCs w:val="24"/>
                <w:lang w:eastAsia="pt-BR"/>
              </w:rPr>
              <w:t xml:space="preserve"> no Plano de Ação, de acordo com informação constante na ficha cadastral desses no Sistema de Cadastro Nacional dos Estabelecimentos de Saúde (SCNES).</w:t>
            </w:r>
          </w:p>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xml:space="preserve">  § 2º No caso dos estabelecimentos que possuem dupla gestão, o </w:t>
            </w:r>
            <w:hyperlink r:id="rId7" w:history="1">
              <w:r w:rsidRPr="002872AD">
                <w:rPr>
                  <w:rFonts w:ascii="Times New Roman" w:eastAsia="Times New Roman" w:hAnsi="Times New Roman" w:cs="Times New Roman"/>
                  <w:color w:val="0000FF"/>
                  <w:sz w:val="24"/>
                  <w:szCs w:val="24"/>
                  <w:u w:val="single"/>
                  <w:lang w:eastAsia="pt-BR"/>
                </w:rPr>
                <w:t>recurso</w:t>
              </w:r>
            </w:hyperlink>
            <w:r w:rsidRPr="002872AD">
              <w:rPr>
                <w:rFonts w:ascii="Times New Roman" w:eastAsia="Times New Roman" w:hAnsi="Times New Roman" w:cs="Times New Roman"/>
                <w:sz w:val="24"/>
                <w:szCs w:val="24"/>
                <w:lang w:eastAsia="pt-BR"/>
              </w:rPr>
              <w:t xml:space="preserve"> será incorporado ao limite financeiro MAC do ente responsável pelo faturamento dos recursos referentes à última produção verificada no Sistema de Informações Hospitalares do SUS (SIH-SUS).</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Art. 3º Os recursos referentes à habilitação de novos leitos de Unidade de Terapia Intensiva (UTI), Unidade de Terapia Intensiva Coronariana (UCO), qualificação de UPA, habilitação e qualificação de Centrais de Regulação e Unidades do SAMU, custeio de Salas de Estabilização e habilitação de equipes de Atenção Domiciliar, serão incorporados aos limites do Estado e Municípios mediante visitas técnicas e/ou habilitações, de acordo com o previsto nas portarias específicas de cada componente.</w:t>
            </w:r>
          </w:p>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Art. 4º O cadastramento no SCNES de novos leitos de UTI habilitados e/ou qualificados, novas UPA habilitadas e/ou qualificadas, novas centrais de regulação do SAMU e unidades do SAMU habilitadas e/ou qualificadas e o cadastramento das equipes de atenção domiciliar deverão ocorrer de acordo com as portarias específicas.</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lastRenderedPageBreak/>
              <w:t>Art. 5º Os leitos novos e já existentes qualificados, quando couber, deverão ser cadastrados no Cadastro Nacional de Estabelecimentos de Saúde (SCNES), nos quantitativos previstos nos planos de ação, no prazo de 30 (trinta) dias após o início de vigência desta Portaria.</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Art. 6º O Fundo Nacional de Saúde adotará as medidas necessárias para a transferência dos recursos estabelecidos no art. 1º desta Portaria aos Fundos de Saúde do Estado e Municípios de Santa Catarina, conforme o Anexo a esta Portaria.</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Art. 7º Os recursos orçamentários correrão por conta do orçamento do Ministério da Saúde, devendo onerar o Programa de Trabalho 10.302.2015.8585 - Atenção à Saúde da População para Procedimentos de Média e Alta Complexidade - Plano Orçamentário 000C - Rede de Urgência e Emergência.</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ind w:firstLine="708"/>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Art. 8º Esta Portaria entra em vigor na data de sua publicação.</w:t>
            </w:r>
          </w:p>
          <w:p w:rsidR="002872AD" w:rsidRPr="002872AD" w:rsidRDefault="002872AD" w:rsidP="002872AD">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ALEXANDRE ROCHA SANTOS PADILHA</w:t>
            </w:r>
          </w:p>
          <w:p w:rsidR="002872AD" w:rsidRPr="002872AD" w:rsidRDefault="002872AD" w:rsidP="002872AD">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p w:rsidR="002872AD" w:rsidRPr="002872AD" w:rsidRDefault="002872AD" w:rsidP="002872AD">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ANEXO</w:t>
            </w:r>
          </w:p>
          <w:p w:rsidR="002872AD" w:rsidRPr="002872AD" w:rsidRDefault="002872AD" w:rsidP="002872AD">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RECURSOS DO PLANO APROVADO DO ESTADO DE SANTA CATARINA E MUNICÍPIOS PARA REPASSE IMEDIATO (ETAPA III)</w:t>
            </w:r>
          </w:p>
          <w:p w:rsidR="002872AD" w:rsidRPr="002872AD" w:rsidRDefault="002872AD" w:rsidP="002872AD">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992"/>
              <w:gridCol w:w="1764"/>
              <w:gridCol w:w="1484"/>
              <w:gridCol w:w="1410"/>
              <w:gridCol w:w="1712"/>
            </w:tblGrid>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IBGE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MUNICÍPIO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GESTÃO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PARCELA ÚNICA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VALOR A INCORPORAR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420140 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ARARANGUÁ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ESTADUAL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61.565,28 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738.783,36 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420300 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CAÇADOR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ESTADUAL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200.000,00 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2.400.000,00 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420480 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CURITIBANOS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ESTADUAL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170.360,32 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2.044.323,84 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420900 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JOAÇABA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ESTADUAL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270.360,32 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3.244.323,84 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270460 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MARAVILHA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ESTADUAL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61.565,28 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738.783,36 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lastRenderedPageBreak/>
                    <w:br/>
                    <w:t>421720 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SÃO MIGUEL DO OESTE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ESTADUAL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61.565,28 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738.783,36 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421870 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TUBARÃO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ESTADUAL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456.673,15 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5.480.077,77 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421930 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VIDEIRA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ESTADUAL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52.770,24 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633.242,88 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421950 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XANXERE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ESTADUAL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287.950,40 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3.455.404,80 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Total Gestão Estadual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1.622.810,27 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19.473.723,21 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420240 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BLUMENAU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MUNICIPAL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730.915,79 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8.770.989,48 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420290 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BRUSQUE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MUNICIPAL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35.180,16 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422.161,92 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420420 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CHAPECÓ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MUNICIPAL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370.360,32 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4.444.323,84 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420430 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CONCÓRDIA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MUNICIPAL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396.745,44 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4.760.945,28 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420460 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CRICIÚMA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MUNICIPAL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440.720,64 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5.288.647,68 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420820 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ITAJAÍ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MUNICIPAL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475.900,80 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5.710.809,60 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420930 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LAGES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MUNICIPAL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793.490,88 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9.521.890,56 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421480 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RIO DO SUL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MUNICIPAL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449.515,68 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5.394.188,16 </w:t>
                  </w:r>
                </w:p>
              </w:tc>
            </w:tr>
            <w:tr w:rsidR="002872AD" w:rsidRPr="002872AD">
              <w:trPr>
                <w:tblCellSpacing w:w="15" w:type="dxa"/>
                <w:jc w:val="center"/>
              </w:trPr>
              <w:tc>
                <w:tcPr>
                  <w:tcW w:w="87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Total Geral </w:t>
                  </w:r>
                </w:p>
              </w:tc>
              <w:tc>
                <w:tcPr>
                  <w:tcW w:w="134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tc>
              <w:tc>
                <w:tcPr>
                  <w:tcW w:w="114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t> </w:t>
                  </w:r>
                </w:p>
              </w:tc>
              <w:tc>
                <w:tcPr>
                  <w:tcW w:w="12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5.315.639,98 </w:t>
                  </w:r>
                </w:p>
              </w:tc>
              <w:tc>
                <w:tcPr>
                  <w:tcW w:w="148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2872AD" w:rsidRPr="002872AD" w:rsidRDefault="002872AD" w:rsidP="002872AD">
                  <w:pPr>
                    <w:spacing w:before="100" w:beforeAutospacing="1" w:after="100" w:afterAutospacing="1" w:line="240" w:lineRule="auto"/>
                    <w:jc w:val="both"/>
                    <w:rPr>
                      <w:rFonts w:ascii="Times New Roman" w:eastAsia="Times New Roman" w:hAnsi="Times New Roman" w:cs="Times New Roman"/>
                      <w:sz w:val="24"/>
                      <w:szCs w:val="24"/>
                      <w:lang w:eastAsia="pt-BR"/>
                    </w:rPr>
                  </w:pPr>
                  <w:r w:rsidRPr="002872AD">
                    <w:rPr>
                      <w:rFonts w:ascii="Times New Roman" w:eastAsia="Times New Roman" w:hAnsi="Times New Roman" w:cs="Times New Roman"/>
                      <w:sz w:val="24"/>
                      <w:szCs w:val="24"/>
                      <w:lang w:eastAsia="pt-BR"/>
                    </w:rPr>
                    <w:br/>
                    <w:t>63.787.679,73 </w:t>
                  </w:r>
                </w:p>
              </w:tc>
            </w:tr>
          </w:tbl>
          <w:p w:rsidR="002872AD" w:rsidRPr="002872AD" w:rsidRDefault="002872AD" w:rsidP="002872AD">
            <w:pPr>
              <w:spacing w:after="0" w:line="240" w:lineRule="auto"/>
              <w:jc w:val="center"/>
              <w:rPr>
                <w:rFonts w:ascii="Verdana" w:eastAsia="Times New Roman" w:hAnsi="Verdana" w:cs="Times New Roman"/>
                <w:sz w:val="18"/>
                <w:szCs w:val="18"/>
                <w:lang w:eastAsia="pt-BR"/>
              </w:rPr>
            </w:pPr>
          </w:p>
        </w:tc>
      </w:tr>
    </w:tbl>
    <w:p w:rsidR="00D66BC4" w:rsidRDefault="00D66BC4"/>
    <w:sectPr w:rsidR="00D66BC4" w:rsidSect="00D66BC4">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872AD"/>
    <w:rsid w:val="002872AD"/>
    <w:rsid w:val="00D66BC4"/>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6BC4"/>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2872AD"/>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2872AD"/>
    <w:rPr>
      <w:color w:val="0000FF"/>
      <w:u w:val="single"/>
    </w:rPr>
  </w:style>
</w:styles>
</file>

<file path=word/webSettings.xml><?xml version="1.0" encoding="utf-8"?>
<w:webSettings xmlns:r="http://schemas.openxmlformats.org/officeDocument/2006/relationships" xmlns:w="http://schemas.openxmlformats.org/wordprocessingml/2006/main">
  <w:divs>
    <w:div w:id="1120302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jusbrasil.com.br/diarios/55965603/dou-secao-1-26-06-2013-pg-54"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jusbrasil.com.br/diarios/55965603/dou-secao-1-26-06-2013-pg-54" TargetMode="External"/><Relationship Id="rId5" Type="http://schemas.openxmlformats.org/officeDocument/2006/relationships/hyperlink" Target="http://www.jusbrasil.com.br/diarios/55965603/dou-secao-1-26-06-2013-pg-54" TargetMode="External"/><Relationship Id="rId4" Type="http://schemas.openxmlformats.org/officeDocument/2006/relationships/hyperlink" Target="http://www.jusbrasil.com.br/diarios/55965603/dou-secao-1-26-06-2013-pg-54" TargetMode="Externa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1510</Words>
  <Characters>8155</Characters>
  <Application>Microsoft Office Word</Application>
  <DocSecurity>0</DocSecurity>
  <Lines>67</Lines>
  <Paragraphs>19</Paragraphs>
  <ScaleCrop>false</ScaleCrop>
  <Company/>
  <LinksUpToDate>false</LinksUpToDate>
  <CharactersWithSpaces>9646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grumannacb</dc:creator>
  <cp:lastModifiedBy>grumannacb</cp:lastModifiedBy>
  <cp:revision>1</cp:revision>
  <dcterms:created xsi:type="dcterms:W3CDTF">2013-08-12T21:17:00Z</dcterms:created>
  <dcterms:modified xsi:type="dcterms:W3CDTF">2013-08-12T21:18:00Z</dcterms:modified>
</cp:coreProperties>
</file>