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E79" w:rsidRPr="00357E79" w:rsidRDefault="00357E79" w:rsidP="00357E7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7E79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PORTARIA Nº 1.277, DE 26 DE JUNHO DE </w:t>
      </w:r>
      <w:proofErr w:type="gramStart"/>
      <w:r w:rsidRPr="00357E79">
        <w:rPr>
          <w:rFonts w:ascii="Times New Roman" w:eastAsia="Times New Roman" w:hAnsi="Times New Roman" w:cs="Times New Roman"/>
          <w:sz w:val="24"/>
          <w:szCs w:val="24"/>
          <w:lang w:eastAsia="pt-BR"/>
        </w:rPr>
        <w:t>2013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proofErr w:type="gramStart"/>
      <w:r w:rsidRPr="00357E79">
        <w:rPr>
          <w:rFonts w:ascii="Arial" w:eastAsia="Times New Roman" w:hAnsi="Arial" w:cs="Arial"/>
          <w:lang w:eastAsia="pt-BR"/>
        </w:rPr>
        <w:t>Cria incentivo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financeiro de investimento destinado à aquisição de equipamentos médico- hospitalares e mobiliários pelos entes federativos para Unidades de Pronto Atendimento (UPA 24hs) Novas e Ampliadas que foram habilitadas conforme Portarias nº 2.922/GM/MS, de 2 de dezembro de 2008; nº 1.020/GM/MS, de 13 de maio de 2009, e nº 1.171/GM/MS, de 5 de junho de 2012.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O MINISTRO DE ESTADO DA SAÚDE, no uso das atribuições que lhe conferem os incisos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>I e II do parágrafo único do art.87 da Constituição, e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Portaria nº 2.048/GM/MS, de </w:t>
      </w:r>
      <w:proofErr w:type="gramStart"/>
      <w:r w:rsidRPr="00357E79">
        <w:rPr>
          <w:rFonts w:ascii="Arial" w:eastAsia="Times New Roman" w:hAnsi="Arial" w:cs="Arial"/>
          <w:lang w:eastAsia="pt-BR"/>
        </w:rPr>
        <w:t>5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de novembro de 2002, que institui o Regulamento Técnico dos Sistemas Estaduais de Urgência e Emergência;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Portaria nº 204/GM/MS, de 29 de janeiro de 2007, que regulamenta o financiamento e a transferência dos recursos federais para as ações e os serviços de saúde, na forma de blocos de financiamento, com o respectivo monitoramento e </w:t>
      </w:r>
      <w:proofErr w:type="gramStart"/>
      <w:r w:rsidRPr="00357E79">
        <w:rPr>
          <w:rFonts w:ascii="Arial" w:eastAsia="Times New Roman" w:hAnsi="Arial" w:cs="Arial"/>
          <w:lang w:eastAsia="pt-BR"/>
        </w:rPr>
        <w:t>controle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Portaria nº 4.279/GM/MS, de 30 de dezembro de 2010, que estabelece diretrizes para a organização da Rede de Atenção à Saúde no âmbito do Sistema Único de Saúde (SUS); 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Portaria nº 1.600/GM/MS, de </w:t>
      </w:r>
      <w:proofErr w:type="gramStart"/>
      <w:r w:rsidRPr="00357E79">
        <w:rPr>
          <w:rFonts w:ascii="Arial" w:eastAsia="Times New Roman" w:hAnsi="Arial" w:cs="Arial"/>
          <w:lang w:eastAsia="pt-BR"/>
        </w:rPr>
        <w:t>7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de julho de 2011, que reformula a Política Nacional de Atenção às Urgências e institui a Rede de Atenção às Urgências no SUS;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Portaria nº 342/GM/MS, de </w:t>
      </w:r>
      <w:proofErr w:type="gramStart"/>
      <w:r w:rsidRPr="00357E79">
        <w:rPr>
          <w:rFonts w:ascii="Arial" w:eastAsia="Times New Roman" w:hAnsi="Arial" w:cs="Arial"/>
          <w:lang w:eastAsia="pt-BR"/>
        </w:rPr>
        <w:t>4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de março de 2013, que redefine as diretrizes para implantação do Componente Unidade de Pronto Atendimento (UPA 24hs) e do conjunto de serviços de urgência 24 (vinte e quatro) horas não hospitalares da Rede de Atenção ás Urgências e Emergências (RUE), em conformidade com a </w:t>
      </w:r>
      <w:proofErr w:type="spellStart"/>
      <w:r w:rsidRPr="00357E79">
        <w:rPr>
          <w:rFonts w:ascii="Arial" w:eastAsia="Times New Roman" w:hAnsi="Arial" w:cs="Arial"/>
          <w:lang w:eastAsia="pt-BR"/>
        </w:rPr>
        <w:t>Politica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Nacional de Atenção ás Urgências, e dispõe sobre o incentivo financeiro de investimento para novas UPA 24 horas (UPA Nova) e UPA 24hs (UPA Ampliadas) e respectivo incentivo financeiro de custeio mensal;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o perfil de </w:t>
      </w:r>
      <w:proofErr w:type="spellStart"/>
      <w:r w:rsidRPr="00357E79">
        <w:rPr>
          <w:rFonts w:ascii="Arial" w:eastAsia="Times New Roman" w:hAnsi="Arial" w:cs="Arial"/>
          <w:lang w:eastAsia="pt-BR"/>
        </w:rPr>
        <w:t>morbimortalidade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do Brasil, com alta relevância epidemiológica e social dos quadros relativos às urgências;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prioridade de </w:t>
      </w:r>
      <w:proofErr w:type="spellStart"/>
      <w:r w:rsidRPr="00357E79">
        <w:rPr>
          <w:rFonts w:ascii="Arial" w:eastAsia="Times New Roman" w:hAnsi="Arial" w:cs="Arial"/>
          <w:lang w:eastAsia="pt-BR"/>
        </w:rPr>
        <w:t>pactuação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de diretrizes para financiamento de ações voltadas à organização da rede de atenção à urgência e emergência; </w:t>
      </w:r>
      <w:proofErr w:type="gramStart"/>
      <w:r w:rsidRPr="00357E79">
        <w:rPr>
          <w:rFonts w:ascii="Arial" w:eastAsia="Times New Roman" w:hAnsi="Arial" w:cs="Arial"/>
          <w:lang w:eastAsia="pt-BR"/>
        </w:rPr>
        <w:t>e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Considerando a necessidade de aprimorar as condições para a </w:t>
      </w:r>
      <w:proofErr w:type="gramStart"/>
      <w:r w:rsidRPr="00357E79">
        <w:rPr>
          <w:rFonts w:ascii="Arial" w:eastAsia="Times New Roman" w:hAnsi="Arial" w:cs="Arial"/>
          <w:lang w:eastAsia="pt-BR"/>
        </w:rPr>
        <w:t>implementação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de todos os componentes da Política Nacional de Atenção às Urgências, resolve: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Art. 1º Fica criado incentivo financeiro de investimento destinado à aquisição de equipamentos médico-hospitalares e mobiliários pelos entes federativos para Unidades de Pronto Atendimento (UPA 24hs) Novas e Ampliadas que foram habilitadas conforme Portarias</w:t>
      </w:r>
    </w:p>
    <w:p w:rsidR="00357E79" w:rsidRP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proofErr w:type="gramStart"/>
      <w:r w:rsidRPr="00357E79">
        <w:rPr>
          <w:rFonts w:ascii="Arial" w:eastAsia="Times New Roman" w:hAnsi="Arial" w:cs="Arial"/>
          <w:lang w:eastAsia="pt-BR"/>
        </w:rPr>
        <w:t>nº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2.922/GM/MS, de 2 de dezembro de 2008; nº 1.020/GM/MS, de 13 de maio de 2009, e nº 1.171/GM/MS, de 5 de junho de 2012.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lastRenderedPageBreak/>
        <w:t>Parágrafo único. O incentivo de que trata o "caput" apenas será concedido às UPA 24hs Novas e Ampliadas em construção ou construídas, mas com prazo ainda não esgotado para início de funcionamento da unidade.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2º Para fins do disposto nesta Portaria, a relação de equipamentos médico- hospitalares e mobiliários passível de aquisição encontra-se relacionada no Portal do Ministério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da Saúde, cujo </w:t>
      </w:r>
      <w:proofErr w:type="spellStart"/>
      <w:r w:rsidRPr="00357E79">
        <w:rPr>
          <w:rFonts w:ascii="Arial" w:eastAsia="Times New Roman" w:hAnsi="Arial" w:cs="Arial"/>
          <w:lang w:eastAsia="pt-BR"/>
        </w:rPr>
        <w:t>acessoencontra-se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disponível pelo sítio eletrônico http:www.fns.gov.br. 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3º Por meio de acesso ao sítio eletrônico de que trata o art. 2º, o ente federativo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interessado deverá efetuar proposta com </w:t>
      </w:r>
      <w:proofErr w:type="spellStart"/>
      <w:r w:rsidRPr="00357E79">
        <w:rPr>
          <w:rFonts w:ascii="Arial" w:eastAsia="Times New Roman" w:hAnsi="Arial" w:cs="Arial"/>
          <w:lang w:eastAsia="pt-BR"/>
        </w:rPr>
        <w:t>arelação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de equipamentos médico-hospitalares e mobiliários cujo financiamento pretende, respeitando-se a área física mínima definida para cada porte de UPA 24h conforme a população de abrangência da unidade fixada e a relação de equipamentos mínimos estabelecidos, nos termos do disposto na Portaria nº 342/GM/MS, de 4 de março de 2013.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Parágrafo único. Para as UPA 24hs Novas habilitadas pela Portaria nº 1.020/GM/MS, de 2009, e com regramento atualmente previsto na Portaria nº 342/GM/MS, de 2013, excepcionalmente o ente federativo interessado também poderá apresentar a proposta de que trata o "caput" desde que encaminhe, além dos documentos e das informações exigidas nesta Portaria, declaração que ateste que os recursos financeiros a ele repassados para a implantação da UPA 24hs Nova: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 - foram ou serão integralmente utilizados para a realização da obra, sem qualquer saldo financeiro do valor repassado pelo Ministério da Saúde para aquisição de equipamentos para o funcionamento da unidade; </w:t>
      </w:r>
      <w:proofErr w:type="gramStart"/>
      <w:r w:rsidRPr="00357E79">
        <w:rPr>
          <w:rFonts w:ascii="Arial" w:eastAsia="Times New Roman" w:hAnsi="Arial" w:cs="Arial"/>
          <w:lang w:eastAsia="pt-BR"/>
        </w:rPr>
        <w:t>ou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II - foram ou serão utilizados para a realização da obra, com saldo financeiro do valor repassado pelo Ministério da Saúde insuficiente para aquisição de todos os equipamentos necessários para o funcionamento da unidade.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Art. 4º Cada proposta será avaliada pela </w:t>
      </w:r>
      <w:hyperlink r:id="rId4" w:tgtFrame="_blank" w:tooltip="Secretaria de Atenção à Saúde" w:history="1">
        <w:r w:rsidRPr="00357E79">
          <w:rPr>
            <w:rFonts w:ascii="Arial" w:eastAsia="Times New Roman" w:hAnsi="Arial" w:cs="Arial"/>
            <w:color w:val="0000FF"/>
            <w:u w:val="single"/>
            <w:lang w:eastAsia="pt-BR"/>
          </w:rPr>
          <w:t>Secretaria de Atenção à Saúde</w:t>
        </w:r>
      </w:hyperlink>
      <w:r w:rsidRPr="00357E79">
        <w:rPr>
          <w:rFonts w:ascii="Arial" w:eastAsia="Times New Roman" w:hAnsi="Arial" w:cs="Arial"/>
          <w:lang w:eastAsia="pt-BR"/>
        </w:rPr>
        <w:t xml:space="preserve"> (SAS/MS).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1º Cada proposta aprovada terá a sua formalização efetivada pelo Ministério da Saúde mediante edição de portaria específica de habilitação pelo Secretário de Atenção à Saúde.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2º A aprovação da proposta ficará vinculada à disponibilidade orçamentária da União.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5º O Ministério da Saúde repassará os recursos financeiros aprovados em parcela única ao fundo de saúde do ente federativo beneficiário nos seguintes termos: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 - análise da proposta inserida pelo gestor do SUS conforme art. 3º;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II - aprovação ou não da proposta conforme art. 4º; </w:t>
      </w:r>
      <w:proofErr w:type="gramStart"/>
      <w:r w:rsidRPr="00357E79">
        <w:rPr>
          <w:rFonts w:ascii="Arial" w:eastAsia="Times New Roman" w:hAnsi="Arial" w:cs="Arial"/>
          <w:lang w:eastAsia="pt-BR"/>
        </w:rPr>
        <w:t>e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III - em caso de aprovação da proposta, recebimento dos recursos financeiros pelo ente federativo beneficiário, que serão movimentados em conta bancária </w:t>
      </w:r>
      <w:r w:rsidRPr="00357E79">
        <w:rPr>
          <w:rFonts w:ascii="Arial" w:eastAsia="Times New Roman" w:hAnsi="Arial" w:cs="Arial"/>
          <w:lang w:eastAsia="pt-BR"/>
        </w:rPr>
        <w:lastRenderedPageBreak/>
        <w:t>específica aberta pelo Fundo Nacional de Saúde em nome dos respectivos Fundos de Saúde Estaduais, Municipais e do Distrito Federal.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Parágrafo único. Enquanto não estiverem investidos em sua finalidade, os recursos percebidos nos termos do inciso III do "caput" serão obrigatoriamente submetidos à aplicação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>financeira e seus rendimentos utilizados na aquisição dos equipamentos.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 Art. 6º A aquisição dos equipamentos médico-hospitalares e mobiliários deverá ocorrer até o prazo final estabelecido pela Portaria nº 342/GM/MS, de 2013, para início de funcionamento da unidade. 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7º Na hipótese de descumprimento do prazo definido no art. 6º, a SAS/MS notificará o gestor de saúde, para que, em até 15 (quinze) dias, apresente justificativa.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1º A SAS/MS terá 15 (quinze) dias para analisar a justificativa apresentada e cientificar o interessado quanto à sua manifestação, a qual poderá ser de: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 - aceitação da justificativa; </w:t>
      </w:r>
      <w:proofErr w:type="gramStart"/>
      <w:r w:rsidRPr="00357E79">
        <w:rPr>
          <w:rFonts w:ascii="Arial" w:eastAsia="Times New Roman" w:hAnsi="Arial" w:cs="Arial"/>
          <w:lang w:eastAsia="pt-BR"/>
        </w:rPr>
        <w:t>ou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II - não aceitação da justificativa.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§ 2º Em caso de aceitação da justificativa, será concedido prazo de </w:t>
      </w:r>
      <w:proofErr w:type="gramStart"/>
      <w:r w:rsidRPr="00357E79">
        <w:rPr>
          <w:rFonts w:ascii="Arial" w:eastAsia="Times New Roman" w:hAnsi="Arial" w:cs="Arial"/>
          <w:lang w:eastAsia="pt-BR"/>
        </w:rPr>
        <w:t>30 (trinta) dias, improrrogável</w:t>
      </w:r>
      <w:proofErr w:type="gramEnd"/>
      <w:r w:rsidRPr="00357E79">
        <w:rPr>
          <w:rFonts w:ascii="Arial" w:eastAsia="Times New Roman" w:hAnsi="Arial" w:cs="Arial"/>
          <w:lang w:eastAsia="pt-BR"/>
        </w:rPr>
        <w:t>, para que o gestor de saúde efetive a medida considerada em situação irregular por descumprimento de prazo para sua execução.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3º Em caso de não aceitação ou de não apresentação da justificativa pelo gestor de saúde, a SAS/MS elaborará relatório circunstanciado com descrição dos fatos ocorridos e a indicação das eventuais irregularidades na execução do programa e o encaminhará ao Sistema Nacional de Auditoria (SNA) para realização de auditoria.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4º Além do disposto no § 3º, o ente federativo beneficiário estará sujeito: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 - à devolução imediata dos recursos financeiros repassados, acrescidos da correção monetária prevista em lei, e que não tenham sido executados no âmbito do programa; </w:t>
      </w:r>
      <w:proofErr w:type="gramStart"/>
      <w:r w:rsidRPr="00357E79">
        <w:rPr>
          <w:rFonts w:ascii="Arial" w:eastAsia="Times New Roman" w:hAnsi="Arial" w:cs="Arial"/>
          <w:lang w:eastAsia="pt-BR"/>
        </w:rPr>
        <w:t>e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II - ao regramento disposto na Lei Complementar nº 141, de </w:t>
      </w:r>
      <w:proofErr w:type="gramStart"/>
      <w:r w:rsidRPr="00357E79">
        <w:rPr>
          <w:rFonts w:ascii="Arial" w:eastAsia="Times New Roman" w:hAnsi="Arial" w:cs="Arial"/>
          <w:lang w:eastAsia="pt-BR"/>
        </w:rPr>
        <w:t>3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de janeiro de 2012, e no Decreto nº 7.827, de 16 de outubro de 2012, em relação aos recursos financeiros que foram repassados e executados parcial ou totalmente em objeto diverso ao originalmente pactuado.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8º O monitoramento de que trata esta Portaria não dispensa o ente federativo beneficiário de comprovação da aplicação dos recursos financeiros percebidos por meio do Relatório Anual de Gestão (RAG).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9º O incentivo financeiro de investimento de que trata esta Portaria será aplicado considerando-se os Portes definidos na Portaria nº 342/GM/MS, de 2013, na seguinte gradação: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 - UPA Nova Porte I - recurso de incentivo financeiro de investimento no valor até R$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>600.000,00 (seiscentos mil reais) para mobiliários e equipamentos de novas UPA 24h;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lastRenderedPageBreak/>
        <w:t>II - UPA Nova Porte II - recurso de incentivo financeiro de investimento no valor até R$ 800.000,00 (oitocentos mil reais) para mobiliários e equipamentos de novas UPA 24h;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III - UPA Nova Porte III - recurso de incentivo financeiro de investimento no valor até R$ 1.000.000,00 (um milhão reais) para mobiliários e equipamentos de novas UPA 24h;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IV - UPA Ampliada Porte I - recurso de incentivo financeiro de investimento no valor até R$ 400.000,00 (quatrocentos mil reais) para mobiliários e equipamentos de UPA 24h;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V - UPA Ampliada Porte II - recurso de incentivo financeiro de investimento no valor até R$ 600.000,00 (seiscentos mil reais) para mobiliários e equipamentos de UPA 24h; </w:t>
      </w:r>
      <w:proofErr w:type="gramStart"/>
      <w:r w:rsidRPr="00357E79">
        <w:rPr>
          <w:rFonts w:ascii="Arial" w:eastAsia="Times New Roman" w:hAnsi="Arial" w:cs="Arial"/>
          <w:lang w:eastAsia="pt-BR"/>
        </w:rPr>
        <w:t>e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VI- UPA Ampliada Porte III - recurso de incentivo financeiro de investimento no valor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até R$ 800.000,00 (oitocentos </w:t>
      </w:r>
      <w:proofErr w:type="spellStart"/>
      <w:r w:rsidRPr="00357E79">
        <w:rPr>
          <w:rFonts w:ascii="Arial" w:eastAsia="Times New Roman" w:hAnsi="Arial" w:cs="Arial"/>
          <w:lang w:eastAsia="pt-BR"/>
        </w:rPr>
        <w:t>milreais</w:t>
      </w:r>
      <w:proofErr w:type="spellEnd"/>
      <w:r w:rsidRPr="00357E79">
        <w:rPr>
          <w:rFonts w:ascii="Arial" w:eastAsia="Times New Roman" w:hAnsi="Arial" w:cs="Arial"/>
          <w:lang w:eastAsia="pt-BR"/>
        </w:rPr>
        <w:t>) para mobiliários e equipamentos de UPA 24h.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 Art. 10. Os entes federativos beneficiários cadastrarão os equipamentos e </w:t>
      </w:r>
      <w:proofErr w:type="gramStart"/>
      <w:r w:rsidRPr="00357E79">
        <w:rPr>
          <w:rFonts w:ascii="Arial" w:eastAsia="Times New Roman" w:hAnsi="Arial" w:cs="Arial"/>
          <w:lang w:eastAsia="pt-BR"/>
        </w:rPr>
        <w:t>mobiliários adquiridos no Sistema Cadastro Nacional de Estabelecimentos de Saúde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(SCNES).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11. Para os fins do disposto nesta Portaria, ao Distrito Federal competem os direitos e obrigações reservados aos Estados e aos Municípios.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12. A eventual complementação de recursos para a aquisição de equipamentos de</w:t>
      </w:r>
      <w:proofErr w:type="gramStart"/>
      <w:r w:rsidRPr="00357E79">
        <w:rPr>
          <w:rFonts w:ascii="Arial" w:eastAsia="Times New Roman" w:hAnsi="Arial" w:cs="Arial"/>
          <w:lang w:eastAsia="pt-BR"/>
        </w:rPr>
        <w:t xml:space="preserve">  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que trata esta Portaria será de responsabilidade do solicitante ou compartilhada entre Estado e Município, de acordo com </w:t>
      </w:r>
      <w:proofErr w:type="spellStart"/>
      <w:r w:rsidRPr="00357E79">
        <w:rPr>
          <w:rFonts w:ascii="Arial" w:eastAsia="Times New Roman" w:hAnsi="Arial" w:cs="Arial"/>
          <w:lang w:eastAsia="pt-BR"/>
        </w:rPr>
        <w:t>pactuação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 na CIB.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13. Os recursos financeiros para a execução das atividades de que tratam esta Portaria são oriundos do orçamento do Ministério da Saúde, devendo onerar o Programa de Trabalho 1220 - Assistência Ambulatorial e Hospitalar Especializada, na Ação 10.302.2015.12L4 - Implantação, Construção e Ampliação de Unidade de Pronto Atendimento.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 Art. 14. Os </w:t>
      </w:r>
      <w:proofErr w:type="spellStart"/>
      <w:r w:rsidRPr="00357E79">
        <w:rPr>
          <w:rFonts w:ascii="Arial" w:eastAsia="Times New Roman" w:hAnsi="Arial" w:cs="Arial"/>
          <w:lang w:eastAsia="pt-BR"/>
        </w:rPr>
        <w:t>arts</w:t>
      </w:r>
      <w:proofErr w:type="spellEnd"/>
      <w:r w:rsidRPr="00357E79">
        <w:rPr>
          <w:rFonts w:ascii="Arial" w:eastAsia="Times New Roman" w:hAnsi="Arial" w:cs="Arial"/>
          <w:lang w:eastAsia="pt-BR"/>
        </w:rPr>
        <w:t xml:space="preserve">. 13, 19, 64 e 67 da Portaria nº 342/GM/MS, de 2013, passam a vigorar acrescidos de § 4º, nos seguintes termos: </w:t>
      </w:r>
      <w:proofErr w:type="gramStart"/>
      <w:r w:rsidRPr="00357E79">
        <w:rPr>
          <w:rFonts w:ascii="Arial" w:eastAsia="Times New Roman" w:hAnsi="Arial" w:cs="Arial"/>
          <w:lang w:eastAsia="pt-BR"/>
        </w:rPr>
        <w:t>"Art. 13.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§ 4º A cessão de direitos referentes à posse ou ao uso do imóvel relativo ao estabelecimento de saúde deverá ser concedida ao ente federativo beneficiário pelo prazo mínimo de 20 (vinte) anos, ressalvada a obediência à legislação própria dos Estados, </w:t>
      </w:r>
      <w:proofErr w:type="gramStart"/>
      <w:r w:rsidRPr="00357E79">
        <w:rPr>
          <w:rFonts w:ascii="Arial" w:eastAsia="Times New Roman" w:hAnsi="Arial" w:cs="Arial"/>
          <w:lang w:eastAsia="pt-BR"/>
        </w:rPr>
        <w:t>Distrito</w:t>
      </w:r>
      <w:proofErr w:type="gramEnd"/>
    </w:p>
    <w:p w:rsid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proofErr w:type="gramStart"/>
      <w:r w:rsidRPr="00357E79">
        <w:rPr>
          <w:rFonts w:ascii="Arial" w:eastAsia="Times New Roman" w:hAnsi="Arial" w:cs="Arial"/>
          <w:lang w:eastAsia="pt-BR"/>
        </w:rPr>
        <w:t>Federal e Municípios em sentido diverso."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"Art. 19.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§ 4º A cessão de direitos referentes à posse ou ao uso do imóvel relativo ao estabelecimento de saúde deverá ser concedida ao ente federativo beneficiário pelo prazo mínimo de 20 (vinte) anos, ressalvada a obediência à legislação própria dos Estados, Distrito Federal e Municípios em sentido diverso.</w:t>
      </w:r>
      <w:proofErr w:type="gramStart"/>
      <w:r w:rsidRPr="00357E79">
        <w:rPr>
          <w:rFonts w:ascii="Arial" w:eastAsia="Times New Roman" w:hAnsi="Arial" w:cs="Arial"/>
          <w:lang w:eastAsia="pt-BR"/>
        </w:rPr>
        <w:t>"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"Art. 64</w:t>
      </w:r>
      <w:proofErr w:type="gramStart"/>
      <w:r w:rsidRPr="00357E79">
        <w:rPr>
          <w:rFonts w:ascii="Arial" w:eastAsia="Times New Roman" w:hAnsi="Arial" w:cs="Arial"/>
          <w:lang w:eastAsia="pt-BR"/>
        </w:rPr>
        <w:t>. ...</w:t>
      </w:r>
      <w:proofErr w:type="gramEnd"/>
      <w:r w:rsidRPr="00357E79">
        <w:rPr>
          <w:rFonts w:ascii="Arial" w:eastAsia="Times New Roman" w:hAnsi="Arial" w:cs="Arial"/>
          <w:lang w:eastAsia="pt-BR"/>
        </w:rPr>
        <w:t>....................................................................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lastRenderedPageBreak/>
        <w:t>§ 4º A cessão de direitos referentes à posse ou ao uso do imóvel relativo ao estabelecimento de saúde deverá ser concedida ao ente federativo beneficiário pelo prazo mínimo de 20 (vinte) anos, ressalvada a obediência à legislação própria dos Estados, Distrito Federal e Municípios em sentido diverso.</w:t>
      </w:r>
      <w:proofErr w:type="gramStart"/>
      <w:r w:rsidRPr="00357E79">
        <w:rPr>
          <w:rFonts w:ascii="Arial" w:eastAsia="Times New Roman" w:hAnsi="Arial" w:cs="Arial"/>
          <w:lang w:eastAsia="pt-BR"/>
        </w:rPr>
        <w:t>"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"Art. 67</w:t>
      </w:r>
      <w:proofErr w:type="gramStart"/>
      <w:r w:rsidRPr="00357E79">
        <w:rPr>
          <w:rFonts w:ascii="Arial" w:eastAsia="Times New Roman" w:hAnsi="Arial" w:cs="Arial"/>
          <w:lang w:eastAsia="pt-BR"/>
        </w:rPr>
        <w:t>. ...</w:t>
      </w:r>
      <w:proofErr w:type="gramEnd"/>
      <w:r w:rsidRPr="00357E79">
        <w:rPr>
          <w:rFonts w:ascii="Arial" w:eastAsia="Times New Roman" w:hAnsi="Arial" w:cs="Arial"/>
          <w:lang w:eastAsia="pt-BR"/>
        </w:rPr>
        <w:t>....................................................................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§ 4º A cessão de direitos referentes à posse ou ao uso do imóvel relativo ao estabelecimento de saúde deverá ser concedida ao ente federativo beneficiário pelo prazo mínimo de 20 (vinte) anos, ressalvada a obediência à legislação própria dos Estados, </w:t>
      </w:r>
      <w:proofErr w:type="gramStart"/>
      <w:r w:rsidRPr="00357E79">
        <w:rPr>
          <w:rFonts w:ascii="Arial" w:eastAsia="Times New Roman" w:hAnsi="Arial" w:cs="Arial"/>
          <w:lang w:eastAsia="pt-BR"/>
        </w:rPr>
        <w:t>Distrito</w:t>
      </w:r>
      <w:proofErr w:type="gramEnd"/>
    </w:p>
    <w:p w:rsidR="00357E79" w:rsidRP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proofErr w:type="gramStart"/>
      <w:r w:rsidRPr="00357E79">
        <w:rPr>
          <w:rFonts w:ascii="Arial" w:eastAsia="Times New Roman" w:hAnsi="Arial" w:cs="Arial"/>
          <w:lang w:eastAsia="pt-BR"/>
        </w:rPr>
        <w:t>Federal e Municípios em sentido diverso."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(NR) </w:t>
      </w:r>
    </w:p>
    <w:p w:rsid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Art. 15. O § 4º do art. 51 e o § 4º do art. 68 da Portaria nº 342/GM/MS, de 2013, passam a vigorar com a seguinte redação: </w:t>
      </w:r>
      <w:proofErr w:type="gramStart"/>
      <w:r w:rsidRPr="00357E79">
        <w:rPr>
          <w:rFonts w:ascii="Arial" w:eastAsia="Times New Roman" w:hAnsi="Arial" w:cs="Arial"/>
          <w:lang w:eastAsia="pt-BR"/>
        </w:rPr>
        <w:t>"Art. 51.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§ 4º Para as obras já concluídas ou a </w:t>
      </w:r>
      <w:proofErr w:type="gramStart"/>
      <w:r w:rsidRPr="00357E79">
        <w:rPr>
          <w:rFonts w:ascii="Arial" w:eastAsia="Times New Roman" w:hAnsi="Arial" w:cs="Arial"/>
          <w:lang w:eastAsia="pt-BR"/>
        </w:rPr>
        <w:t>serem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concluídas até 30 de setembro de 2013, o prazo final para o início de funcionamento da unidade é 31 de março de 2014." (NR)</w:t>
      </w:r>
    </w:p>
    <w:p w:rsidR="00357E79" w:rsidRPr="00357E79" w:rsidRDefault="00357E79" w:rsidP="00357E79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"Art. 68</w:t>
      </w:r>
      <w:proofErr w:type="gramStart"/>
      <w:r w:rsidRPr="00357E79">
        <w:rPr>
          <w:rFonts w:ascii="Arial" w:eastAsia="Times New Roman" w:hAnsi="Arial" w:cs="Arial"/>
          <w:lang w:eastAsia="pt-BR"/>
        </w:rPr>
        <w:t>. ...</w:t>
      </w:r>
      <w:proofErr w:type="gramEnd"/>
      <w:r w:rsidRPr="00357E79">
        <w:rPr>
          <w:rFonts w:ascii="Arial" w:eastAsia="Times New Roman" w:hAnsi="Arial" w:cs="Arial"/>
          <w:lang w:eastAsia="pt-BR"/>
        </w:rPr>
        <w:t>....................................................................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 xml:space="preserve">§ 4º Para as obras já concluídas ou a </w:t>
      </w:r>
      <w:proofErr w:type="gramStart"/>
      <w:r w:rsidRPr="00357E79">
        <w:rPr>
          <w:rFonts w:ascii="Arial" w:eastAsia="Times New Roman" w:hAnsi="Arial" w:cs="Arial"/>
          <w:lang w:eastAsia="pt-BR"/>
        </w:rPr>
        <w:t>serem</w:t>
      </w:r>
      <w:proofErr w:type="gramEnd"/>
      <w:r w:rsidRPr="00357E79">
        <w:rPr>
          <w:rFonts w:ascii="Arial" w:eastAsia="Times New Roman" w:hAnsi="Arial" w:cs="Arial"/>
          <w:lang w:eastAsia="pt-BR"/>
        </w:rPr>
        <w:t xml:space="preserve"> concluídas até 30 de setembro de 2013, o prazo final para o início de funcionamento da unidade é 31 de março de 2014." (NR)</w:t>
      </w:r>
    </w:p>
    <w:p w:rsidR="00357E79" w:rsidRPr="00357E79" w:rsidRDefault="00357E79" w:rsidP="00357E79">
      <w:pPr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Art. 16. Esta Portaria entra em vigor na data de sua publicação.</w:t>
      </w:r>
    </w:p>
    <w:p w:rsidR="00357E79" w:rsidRPr="00357E79" w:rsidRDefault="00357E79" w:rsidP="00357E7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 </w:t>
      </w:r>
    </w:p>
    <w:p w:rsidR="00357E79" w:rsidRPr="00357E79" w:rsidRDefault="00357E79" w:rsidP="00357E7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lang w:eastAsia="pt-BR"/>
        </w:rPr>
      </w:pPr>
      <w:r w:rsidRPr="00357E79">
        <w:rPr>
          <w:rFonts w:ascii="Arial" w:eastAsia="Times New Roman" w:hAnsi="Arial" w:cs="Arial"/>
          <w:lang w:eastAsia="pt-BR"/>
        </w:rPr>
        <w:t>ALEXANDRE ROCHA SANTOS PADILHA</w:t>
      </w:r>
    </w:p>
    <w:p w:rsidR="00006C27" w:rsidRPr="00357E79" w:rsidRDefault="00006C27">
      <w:pPr>
        <w:rPr>
          <w:rFonts w:ascii="Arial" w:hAnsi="Arial" w:cs="Arial"/>
        </w:rPr>
      </w:pPr>
    </w:p>
    <w:sectPr w:rsidR="00006C27" w:rsidRPr="00357E79" w:rsidSect="00006C2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7E79"/>
    <w:rsid w:val="00006C27"/>
    <w:rsid w:val="00357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C2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357E7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68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rasilsus.com.br/noticias/nacionais/101353-secretaria-de-atencao-a-saude-sas?q=%22secretaria+de+aten%C3%A7%C3%A3o+%C3%A0+sa%C3%BAde%22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1873</Words>
  <Characters>10116</Characters>
  <Application>Microsoft Office Word</Application>
  <DocSecurity>0</DocSecurity>
  <Lines>84</Lines>
  <Paragraphs>23</Paragraphs>
  <ScaleCrop>false</ScaleCrop>
  <Company/>
  <LinksUpToDate>false</LinksUpToDate>
  <CharactersWithSpaces>11966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grumannacb</dc:creator>
  <cp:lastModifiedBy>grumannacb</cp:lastModifiedBy>
  <cp:revision>2</cp:revision>
  <dcterms:created xsi:type="dcterms:W3CDTF">2013-08-15T17:02:00Z</dcterms:created>
  <dcterms:modified xsi:type="dcterms:W3CDTF">2013-08-15T17:02:00Z</dcterms:modified>
</cp:coreProperties>
</file>